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62164" w14:textId="682C9E8D" w:rsidR="00103730" w:rsidRPr="00007707" w:rsidRDefault="00E72076" w:rsidP="00007707">
      <w:pPr>
        <w:pStyle w:val="Heading1"/>
        <w:rPr>
          <w:b/>
          <w:bCs w:val="0"/>
          <w:color w:val="4472C4" w:themeColor="accent1"/>
          <w:u w:val="single"/>
        </w:rPr>
      </w:pPr>
      <w:r w:rsidRPr="00940AF2">
        <w:rPr>
          <w:b/>
          <w:bCs w:val="0"/>
          <w:color w:val="4472C4" w:themeColor="accent1"/>
          <w:u w:val="single"/>
        </w:rPr>
        <w:t>Supplemental Statements for Course Syllabus</w:t>
      </w:r>
      <w:r w:rsidR="00902962">
        <w:rPr>
          <w:b/>
          <w:bCs w:val="0"/>
          <w:color w:val="4472C4" w:themeColor="accent1"/>
          <w:u w:val="single"/>
        </w:rPr>
        <w:t xml:space="preserve"> – </w:t>
      </w:r>
      <w:r w:rsidR="00DE7A71">
        <w:rPr>
          <w:b/>
          <w:bCs w:val="0"/>
          <w:color w:val="4472C4" w:themeColor="accent1"/>
          <w:u w:val="single"/>
        </w:rPr>
        <w:t>202</w:t>
      </w:r>
      <w:r w:rsidR="00F01FEC">
        <w:rPr>
          <w:b/>
          <w:bCs w:val="0"/>
          <w:color w:val="4472C4" w:themeColor="accent1"/>
          <w:u w:val="single"/>
        </w:rPr>
        <w:t>6</w:t>
      </w:r>
      <w:r w:rsidR="00DE7A71">
        <w:rPr>
          <w:b/>
          <w:bCs w:val="0"/>
          <w:color w:val="4472C4" w:themeColor="accent1"/>
          <w:u w:val="single"/>
        </w:rPr>
        <w:t>-202</w:t>
      </w:r>
      <w:r w:rsidR="00F01FEC">
        <w:rPr>
          <w:b/>
          <w:bCs w:val="0"/>
          <w:color w:val="4472C4" w:themeColor="accent1"/>
          <w:u w:val="single"/>
        </w:rPr>
        <w:t>7</w:t>
      </w:r>
    </w:p>
    <w:p w14:paraId="7CC9E785" w14:textId="77777777" w:rsidR="0088158D" w:rsidRPr="003D1B0D" w:rsidRDefault="0088158D" w:rsidP="0088158D">
      <w:pPr>
        <w:pStyle w:val="Heading1"/>
        <w:rPr>
          <w:b/>
          <w:u w:val="single"/>
        </w:rPr>
      </w:pPr>
      <w:r>
        <w:rPr>
          <w:b/>
          <w:sz w:val="28"/>
          <w:szCs w:val="24"/>
          <w:u w:val="single"/>
        </w:rPr>
        <w:t>*</w:t>
      </w:r>
      <w:r w:rsidRPr="003D1B0D">
        <w:rPr>
          <w:b/>
          <w:sz w:val="28"/>
          <w:szCs w:val="24"/>
          <w:u w:val="single"/>
        </w:rPr>
        <w:t>Copyright</w:t>
      </w:r>
    </w:p>
    <w:p w14:paraId="1058B7A5" w14:textId="1E7D95EC" w:rsidR="00506DCD" w:rsidRDefault="00053F52" w:rsidP="00224347">
      <w:pPr>
        <w:spacing w:after="120"/>
        <w:rPr>
          <w:rFonts w:ascii="Calibri" w:hAnsi="Calibri" w:cs="Calibri"/>
          <w:sz w:val="22"/>
          <w:szCs w:val="22"/>
        </w:rPr>
      </w:pPr>
      <w:r w:rsidRPr="00053F52">
        <w:rPr>
          <w:rFonts w:ascii="Calibri" w:hAnsi="Calibri" w:cs="Calibri"/>
          <w:sz w:val="22"/>
          <w:szCs w:val="22"/>
        </w:rPr>
        <w:t>These course materials are designed for use in Course XXX at StFX University and are the property of the instructor, unless otherwise stated by the instructor. Copying this material for distribution, online posting, or selling of this material to third parties without permission is subject to Canadian Copyright Law and is strictly prohibited.</w:t>
      </w:r>
    </w:p>
    <w:p w14:paraId="43930707" w14:textId="77777777" w:rsidR="0088158D" w:rsidRDefault="0088158D" w:rsidP="00224347">
      <w:pPr>
        <w:spacing w:after="120"/>
      </w:pPr>
      <w:r w:rsidRPr="00E72076">
        <w:rPr>
          <w:rFonts w:ascii="Calibri" w:hAnsi="Calibri" w:cs="Calibri"/>
          <w:color w:val="44546A"/>
          <w:sz w:val="22"/>
          <w:szCs w:val="22"/>
        </w:rPr>
        <w:t>P</w:t>
      </w:r>
      <w:r w:rsidRPr="00E72076">
        <w:rPr>
          <w:rFonts w:ascii="Calibri" w:hAnsi="Calibri" w:cs="Calibri"/>
          <w:sz w:val="22"/>
          <w:szCs w:val="22"/>
        </w:rPr>
        <w:t xml:space="preserve">lease visit the StFX copyright guide for more information: </w:t>
      </w:r>
      <w:r w:rsidRPr="00E72076">
        <w:rPr>
          <w:rFonts w:ascii="Calibri" w:hAnsi="Calibri" w:cs="Calibri"/>
          <w:color w:val="0000FF"/>
          <w:sz w:val="22"/>
          <w:szCs w:val="22"/>
        </w:rPr>
        <w:t> </w:t>
      </w:r>
      <w:hyperlink r:id="rId10" w:history="1">
        <w:r w:rsidRPr="002313FC">
          <w:rPr>
            <w:color w:val="0000FF"/>
            <w:u w:val="single"/>
          </w:rPr>
          <w:t>Home - Copyright - LibGuides at St. Francis Xavier University</w:t>
        </w:r>
      </w:hyperlink>
    </w:p>
    <w:p w14:paraId="2A246141" w14:textId="77777777" w:rsidR="0070679D" w:rsidRPr="00670AA1" w:rsidRDefault="0070679D" w:rsidP="0070679D">
      <w:pPr>
        <w:pStyle w:val="Heading1"/>
        <w:rPr>
          <w:b/>
          <w:bCs w:val="0"/>
          <w:sz w:val="28"/>
          <w:u w:val="single"/>
        </w:rPr>
      </w:pPr>
      <w:r w:rsidRPr="00670AA1">
        <w:rPr>
          <w:b/>
          <w:bCs w:val="0"/>
          <w:sz w:val="28"/>
          <w:u w:val="single"/>
        </w:rPr>
        <w:t>*Equitable Learning Environment </w:t>
      </w:r>
    </w:p>
    <w:p w14:paraId="50B3C04C" w14:textId="77777777" w:rsidR="0070679D" w:rsidRPr="00030E15" w:rsidRDefault="0070679D" w:rsidP="00224347">
      <w:pPr>
        <w:spacing w:after="120"/>
        <w:rPr>
          <w:sz w:val="22"/>
          <w:szCs w:val="22"/>
        </w:rPr>
      </w:pPr>
      <w:r w:rsidRPr="00030E15">
        <w:rPr>
          <w:sz w:val="22"/>
          <w:szCs w:val="22"/>
        </w:rPr>
        <w:t>Learning is more effective in a respectful, inclusive, and equitable environment. Instructors and students should collaborate to create learning spaces that uphold human dignity, equity, diversity, respect for the individual, and the open exchange of ideas. </w:t>
      </w:r>
    </w:p>
    <w:p w14:paraId="1AE4FA9B" w14:textId="77777777" w:rsidR="0070679D" w:rsidRPr="00030E15" w:rsidRDefault="0070679D" w:rsidP="00224347">
      <w:pPr>
        <w:spacing w:after="120"/>
        <w:rPr>
          <w:sz w:val="22"/>
          <w:szCs w:val="22"/>
        </w:rPr>
      </w:pPr>
      <w:r w:rsidRPr="00030E15">
        <w:rPr>
          <w:sz w:val="22"/>
          <w:szCs w:val="22"/>
        </w:rPr>
        <w:t>University classrooms are places of inquiry and critical engagement. Students can expect to encounter perspectives, ideas, and evidence that may challenge their existing beliefs or assumptions. While intellectual challenge and respectful disagreement are essential to learning, all members of the classroom community are expected to engage with one another in ways that are respectful and free from discrimination and harassment.</w:t>
      </w:r>
    </w:p>
    <w:p w14:paraId="5D6EBB5D" w14:textId="77777777" w:rsidR="0070679D" w:rsidRPr="001D229C" w:rsidRDefault="0070679D" w:rsidP="0070679D">
      <w:pPr>
        <w:pStyle w:val="Heading1"/>
        <w:spacing w:before="0"/>
        <w:rPr>
          <w:b/>
          <w:bCs w:val="0"/>
          <w:sz w:val="28"/>
          <w:szCs w:val="24"/>
          <w:u w:val="single"/>
        </w:rPr>
      </w:pPr>
      <w:r w:rsidRPr="001D229C">
        <w:rPr>
          <w:b/>
          <w:bCs w:val="0"/>
          <w:sz w:val="28"/>
          <w:szCs w:val="24"/>
          <w:u w:val="single"/>
        </w:rPr>
        <w:t>*Name and Pronouns </w:t>
      </w:r>
    </w:p>
    <w:p w14:paraId="7C16BB51" w14:textId="77777777" w:rsidR="0070679D" w:rsidRPr="006943A2" w:rsidRDefault="0070679D" w:rsidP="00224347">
      <w:pPr>
        <w:spacing w:after="120"/>
        <w:rPr>
          <w:sz w:val="22"/>
          <w:szCs w:val="22"/>
        </w:rPr>
      </w:pPr>
      <w:r w:rsidRPr="006943A2">
        <w:rPr>
          <w:sz w:val="22"/>
          <w:szCs w:val="22"/>
        </w:rPr>
        <w:t>StFX respects the names and pronouns of all students, staff, and faculty.</w:t>
      </w:r>
    </w:p>
    <w:p w14:paraId="0F1D1F25" w14:textId="77777777" w:rsidR="0070679D" w:rsidRPr="006943A2" w:rsidRDefault="0070679D" w:rsidP="00224347">
      <w:pPr>
        <w:spacing w:after="120"/>
        <w:rPr>
          <w:sz w:val="22"/>
          <w:szCs w:val="22"/>
        </w:rPr>
      </w:pPr>
      <w:r w:rsidRPr="006943A2">
        <w:rPr>
          <w:sz w:val="22"/>
          <w:szCs w:val="22"/>
        </w:rPr>
        <w:t>If you use a name that is different from your legal name, you can update your name without providing a federal name change certificate by submitting a request here:</w:t>
      </w:r>
    </w:p>
    <w:p w14:paraId="6B4086B6" w14:textId="77777777" w:rsidR="0070679D" w:rsidRPr="006943A2" w:rsidRDefault="0070679D" w:rsidP="00224347">
      <w:pPr>
        <w:spacing w:after="120"/>
        <w:rPr>
          <w:sz w:val="22"/>
          <w:szCs w:val="22"/>
        </w:rPr>
      </w:pPr>
      <w:hyperlink r:id="rId11" w:history="1">
        <w:r w:rsidRPr="006943A2">
          <w:rPr>
            <w:rStyle w:val="Hyperlink"/>
            <w:sz w:val="22"/>
            <w:szCs w:val="22"/>
          </w:rPr>
          <w:t>https://stfx.teamdynamix.com/TDClient/1764/Portal/Requests/Service/39840/Change-of-Name</w:t>
        </w:r>
      </w:hyperlink>
    </w:p>
    <w:p w14:paraId="295E8516" w14:textId="24FBABB6" w:rsidR="0070679D" w:rsidRDefault="0070679D" w:rsidP="007C10E4">
      <w:pPr>
        <w:spacing w:after="120"/>
        <w:rPr>
          <w:sz w:val="22"/>
          <w:szCs w:val="22"/>
        </w:rPr>
      </w:pPr>
      <w:r w:rsidRPr="006943A2">
        <w:rPr>
          <w:sz w:val="22"/>
          <w:szCs w:val="22"/>
        </w:rPr>
        <w:t>Once updated, this name will be used across campus systems. If you do not submit a request, your legal name will continue to be used.</w:t>
      </w:r>
    </w:p>
    <w:p w14:paraId="2676DB1C" w14:textId="77777777" w:rsidR="007C10E4" w:rsidRPr="006943A2" w:rsidRDefault="007C10E4" w:rsidP="007C10E4">
      <w:pPr>
        <w:spacing w:after="120"/>
        <w:rPr>
          <w:sz w:val="22"/>
          <w:szCs w:val="22"/>
        </w:rPr>
      </w:pPr>
      <w:r w:rsidRPr="006943A2">
        <w:rPr>
          <w:sz w:val="22"/>
          <w:szCs w:val="22"/>
        </w:rPr>
        <w:t xml:space="preserve">Your legal name is only required and used for official legal and government documents, such as your T2202A tax form, official transcripts, and degree parchment. If you legally change your name through the appropriate government process, you can update your legal name at any time by contacting </w:t>
      </w:r>
      <w:hyperlink r:id="rId12" w:history="1">
        <w:r w:rsidRPr="006943A2">
          <w:rPr>
            <w:rStyle w:val="Hyperlink"/>
            <w:sz w:val="22"/>
            <w:szCs w:val="22"/>
          </w:rPr>
          <w:t>the Registrar's Office.</w:t>
        </w:r>
      </w:hyperlink>
    </w:p>
    <w:p w14:paraId="0B49BA25" w14:textId="3412A141" w:rsidR="007C10E4" w:rsidRPr="0070679D" w:rsidRDefault="007C10E4" w:rsidP="00224347">
      <w:pPr>
        <w:spacing w:after="120"/>
        <w:rPr>
          <w:sz w:val="22"/>
          <w:szCs w:val="22"/>
        </w:rPr>
      </w:pPr>
      <w:r w:rsidRPr="006943A2">
        <w:rPr>
          <w:sz w:val="22"/>
          <w:szCs w:val="22"/>
        </w:rPr>
        <w:t>For any questions or concerns about equity, feel free to speak with your instructor. You may also contact the Department Chair/Coordinator or the Manager of Human Rights &amp; Equity through email at </w:t>
      </w:r>
      <w:hyperlink r:id="rId13" w:history="1">
        <w:r w:rsidRPr="006943A2">
          <w:rPr>
            <w:rStyle w:val="Hyperlink"/>
            <w:sz w:val="22"/>
            <w:szCs w:val="22"/>
          </w:rPr>
          <w:t>hreinmgr@stfx.ca</w:t>
        </w:r>
      </w:hyperlink>
      <w:r w:rsidRPr="006943A2">
        <w:rPr>
          <w:sz w:val="22"/>
          <w:szCs w:val="22"/>
        </w:rPr>
        <w:t>.</w:t>
      </w:r>
    </w:p>
    <w:p w14:paraId="3B5009C3" w14:textId="77777777" w:rsidR="0088158D" w:rsidRDefault="0088158D" w:rsidP="0088158D"/>
    <w:p w14:paraId="045B83B0" w14:textId="10806D85" w:rsidR="00FD6C98" w:rsidRPr="003D1B0D" w:rsidRDefault="004D4843" w:rsidP="004D4843">
      <w:pPr>
        <w:rPr>
          <w:rFonts w:asciiTheme="majorHAnsi" w:hAnsiTheme="majorHAnsi" w:cs="Calibri"/>
          <w:b/>
          <w:color w:val="44546A" w:themeColor="text2"/>
          <w:sz w:val="28"/>
          <w:szCs w:val="28"/>
          <w:u w:val="single"/>
          <w:shd w:val="clear" w:color="auto" w:fill="FFFFFF"/>
        </w:rPr>
      </w:pPr>
      <w:r>
        <w:rPr>
          <w:rFonts w:asciiTheme="majorHAnsi" w:hAnsiTheme="majorHAnsi" w:cs="Calibri"/>
          <w:b/>
          <w:color w:val="44546A" w:themeColor="text2"/>
          <w:sz w:val="28"/>
          <w:szCs w:val="28"/>
          <w:u w:val="single"/>
          <w:shd w:val="clear" w:color="auto" w:fill="FFFFFF"/>
        </w:rPr>
        <w:t>*</w:t>
      </w:r>
      <w:r w:rsidRPr="003D1B0D">
        <w:rPr>
          <w:rFonts w:asciiTheme="majorHAnsi" w:hAnsiTheme="majorHAnsi" w:cs="Calibri"/>
          <w:b/>
          <w:color w:val="44546A" w:themeColor="text2"/>
          <w:sz w:val="28"/>
          <w:szCs w:val="28"/>
          <w:u w:val="single"/>
          <w:shd w:val="clear" w:color="auto" w:fill="FFFFFF"/>
        </w:rPr>
        <w:t>Tramble center for Accessible Learning</w:t>
      </w:r>
    </w:p>
    <w:p w14:paraId="24A0BAB5" w14:textId="171BBB06" w:rsidR="004D4843" w:rsidRPr="00420BE3" w:rsidRDefault="004D4843" w:rsidP="00224347">
      <w:pPr>
        <w:spacing w:after="120"/>
        <w:rPr>
          <w:rFonts w:ascii="Calibri" w:hAnsi="Calibri" w:cs="Calibri"/>
          <w:sz w:val="22"/>
          <w:szCs w:val="22"/>
        </w:rPr>
      </w:pPr>
      <w:r w:rsidRPr="00420BE3">
        <w:rPr>
          <w:rFonts w:ascii="Calibri" w:hAnsi="Calibri" w:cs="Calibri"/>
          <w:sz w:val="22"/>
          <w:szCs w:val="22"/>
        </w:rPr>
        <w:t>St. Francis Xavier University is committed to providing an inclusive learning environment that supports student success. The Tramble Centre for Accessible Learning (TCAL) works collaboratively with students, who have diagnosed permanent or prolonged disabilities,to determine and implement appropriate academic accommodations, provide access to assistive technologies, and offer learning strategy supports to help reduce barriers to learning.</w:t>
      </w:r>
    </w:p>
    <w:p w14:paraId="332CFEC7" w14:textId="6953E8B3" w:rsidR="00AD41B1" w:rsidRPr="00420BE3" w:rsidRDefault="004D4843" w:rsidP="00224347">
      <w:pPr>
        <w:spacing w:after="120"/>
        <w:rPr>
          <w:rFonts w:ascii="Calibri" w:hAnsi="Calibri" w:cs="Calibri"/>
          <w:sz w:val="22"/>
          <w:szCs w:val="22"/>
        </w:rPr>
      </w:pPr>
      <w:r w:rsidRPr="00420BE3">
        <w:rPr>
          <w:rFonts w:ascii="Calibri" w:hAnsi="Calibri" w:cs="Calibri"/>
          <w:sz w:val="22"/>
          <w:szCs w:val="22"/>
        </w:rPr>
        <w:t>Students seeking accommodations must register with TCAL and provide the required documentation as early as possible, ideally at the beginning of the semester, as there are deadlines in place for registration and accommodated test/exam bookings. Information about the Centre's services and the registration process is available at </w:t>
      </w:r>
      <w:hyperlink r:id="rId14" w:tgtFrame="_blank" w:tooltip="https://www.stfx.ca/student-services/academic-services/accessible-learning" w:history="1">
        <w:r w:rsidRPr="00420BE3">
          <w:rPr>
            <w:rStyle w:val="Hyperlink"/>
            <w:rFonts w:ascii="Calibri" w:hAnsi="Calibri" w:cs="Calibri"/>
            <w:sz w:val="22"/>
            <w:szCs w:val="22"/>
          </w:rPr>
          <w:t>Accessible Learning | St. Francis Xavier University</w:t>
        </w:r>
      </w:hyperlink>
      <w:r w:rsidRPr="00420BE3">
        <w:rPr>
          <w:rFonts w:ascii="Calibri" w:hAnsi="Calibri" w:cs="Calibri"/>
          <w:sz w:val="22"/>
          <w:szCs w:val="22"/>
        </w:rPr>
        <w:t xml:space="preserve"> . Select "Prospective TCAL </w:t>
      </w:r>
      <w:r w:rsidRPr="00420BE3">
        <w:rPr>
          <w:rFonts w:ascii="Calibri" w:hAnsi="Calibri" w:cs="Calibri"/>
          <w:sz w:val="22"/>
          <w:szCs w:val="22"/>
        </w:rPr>
        <w:lastRenderedPageBreak/>
        <w:t xml:space="preserve">Students" for information on how to register and access supports. The Centre is located in the Angus L. Macdonald Library (Room 108), or can be reached via email at </w:t>
      </w:r>
      <w:hyperlink r:id="rId15" w:tgtFrame="_blank" w:tooltip="mailto:cal@stfx.ca" w:history="1">
        <w:r w:rsidRPr="00420BE3">
          <w:rPr>
            <w:rStyle w:val="Hyperlink"/>
            <w:rFonts w:ascii="Calibri" w:hAnsi="Calibri" w:cs="Calibri"/>
            <w:sz w:val="22"/>
            <w:szCs w:val="22"/>
          </w:rPr>
          <w:t>cal@stfx.ca</w:t>
        </w:r>
      </w:hyperlink>
      <w:r w:rsidRPr="00420BE3">
        <w:rPr>
          <w:rFonts w:ascii="Calibri" w:hAnsi="Calibri" w:cs="Calibri"/>
          <w:sz w:val="22"/>
          <w:szCs w:val="22"/>
        </w:rPr>
        <w:t>. </w:t>
      </w:r>
    </w:p>
    <w:p w14:paraId="15B6884E" w14:textId="20FF401F" w:rsidR="000C748D" w:rsidRPr="001561DF" w:rsidRDefault="00AD41B1" w:rsidP="001561DF">
      <w:pPr>
        <w:pStyle w:val="Heading1"/>
        <w:rPr>
          <w:b/>
          <w:sz w:val="28"/>
          <w:szCs w:val="24"/>
          <w:u w:val="single"/>
        </w:rPr>
      </w:pPr>
      <w:r>
        <w:rPr>
          <w:b/>
          <w:sz w:val="28"/>
          <w:szCs w:val="24"/>
          <w:u w:val="single"/>
        </w:rPr>
        <w:t>*Use of Gene</w:t>
      </w:r>
      <w:r w:rsidR="000C748D">
        <w:rPr>
          <w:b/>
          <w:sz w:val="28"/>
          <w:szCs w:val="24"/>
          <w:u w:val="single"/>
        </w:rPr>
        <w:t>rative AI</w:t>
      </w:r>
    </w:p>
    <w:p w14:paraId="453F2BB5" w14:textId="43F1F69A" w:rsidR="007C10E4" w:rsidRPr="009D0CCC" w:rsidRDefault="00183544" w:rsidP="004D4843">
      <w:pPr>
        <w:rPr>
          <w:sz w:val="22"/>
          <w:szCs w:val="22"/>
        </w:rPr>
      </w:pPr>
      <w:r>
        <w:t>[</w:t>
      </w:r>
      <w:r w:rsidRPr="001561DF">
        <w:rPr>
          <w:sz w:val="22"/>
          <w:szCs w:val="22"/>
        </w:rPr>
        <w:t>Statement r</w:t>
      </w:r>
      <w:r w:rsidR="00B6685B" w:rsidRPr="001561DF">
        <w:rPr>
          <w:sz w:val="22"/>
          <w:szCs w:val="22"/>
        </w:rPr>
        <w:t>equired by Senate since May 2023</w:t>
      </w:r>
      <w:r w:rsidR="00F760CA" w:rsidRPr="001561DF">
        <w:rPr>
          <w:sz w:val="22"/>
          <w:szCs w:val="22"/>
        </w:rPr>
        <w:t>; sample statements</w:t>
      </w:r>
      <w:r w:rsidR="00D74F2B" w:rsidRPr="001561DF">
        <w:rPr>
          <w:sz w:val="22"/>
          <w:szCs w:val="22"/>
        </w:rPr>
        <w:t xml:space="preserve"> with varying levels of acceptable use </w:t>
      </w:r>
      <w:hyperlink r:id="rId16" w:history="1">
        <w:r w:rsidR="0024257E" w:rsidRPr="001561DF">
          <w:rPr>
            <w:rStyle w:val="Hyperlink"/>
            <w:sz w:val="22"/>
            <w:szCs w:val="22"/>
          </w:rPr>
          <w:t>are available on this site.</w:t>
        </w:r>
      </w:hyperlink>
      <w:r w:rsidR="001561DF" w:rsidRPr="001561DF">
        <w:rPr>
          <w:sz w:val="22"/>
          <w:szCs w:val="22"/>
        </w:rPr>
        <w:t xml:space="preserve"> </w:t>
      </w:r>
      <w:r w:rsidR="00B07F5B" w:rsidRPr="00420BE3">
        <w:rPr>
          <w:sz w:val="22"/>
          <w:szCs w:val="22"/>
        </w:rPr>
        <w:t xml:space="preserve">These </w:t>
      </w:r>
      <w:r w:rsidR="005B735C">
        <w:rPr>
          <w:sz w:val="22"/>
          <w:szCs w:val="22"/>
        </w:rPr>
        <w:t xml:space="preserve">statements </w:t>
      </w:r>
      <w:r w:rsidR="00B07F5B" w:rsidRPr="00420BE3">
        <w:rPr>
          <w:sz w:val="22"/>
          <w:szCs w:val="22"/>
        </w:rPr>
        <w:t>may be adapted at will. It will be clear that the categories of statement (allowed, sometimes allowed, &amp; disallowed) overlap in practice; with the growing ubiquity of generative AI, and as students become accustomed to using these tools as virtual tutors to help them learn and understand course concepts, it will be ever more important to be aware of the limits of prohibition.</w:t>
      </w:r>
      <w:r w:rsidR="001561DF">
        <w:rPr>
          <w:sz w:val="22"/>
          <w:szCs w:val="22"/>
        </w:rPr>
        <w:t>]</w:t>
      </w:r>
    </w:p>
    <w:p w14:paraId="5D97F70A" w14:textId="5A0EEB73" w:rsidR="00705CCF" w:rsidRPr="003D1B0D" w:rsidRDefault="00705CCF" w:rsidP="00705CCF">
      <w:pPr>
        <w:pStyle w:val="Heading1"/>
        <w:rPr>
          <w:b/>
          <w:sz w:val="28"/>
          <w:szCs w:val="24"/>
          <w:u w:val="single"/>
        </w:rPr>
      </w:pPr>
      <w:r w:rsidRPr="003D1B0D">
        <w:rPr>
          <w:b/>
          <w:sz w:val="28"/>
          <w:szCs w:val="24"/>
          <w:u w:val="single"/>
        </w:rPr>
        <w:t>Pre-requisite Checking</w:t>
      </w:r>
      <w:r w:rsidR="00077FF7">
        <w:rPr>
          <w:b/>
          <w:sz w:val="28"/>
          <w:szCs w:val="24"/>
          <w:u w:val="single"/>
        </w:rPr>
        <w:t xml:space="preserve"> </w:t>
      </w:r>
    </w:p>
    <w:p w14:paraId="29ED27E1" w14:textId="24E9D3F5" w:rsidR="00705CCF" w:rsidRPr="00304A0E" w:rsidRDefault="00705CCF" w:rsidP="00705CCF">
      <w:pPr>
        <w:rPr>
          <w:rFonts w:ascii="Calibri" w:hAnsi="Calibri" w:cs="Calibri"/>
          <w:strike/>
          <w:sz w:val="20"/>
          <w:szCs w:val="20"/>
        </w:rPr>
      </w:pPr>
      <w:r w:rsidRPr="007E0A10">
        <w:rPr>
          <w:rFonts w:ascii="Calibri" w:hAnsi="Calibri" w:cs="Calibri"/>
          <w:sz w:val="22"/>
          <w:szCs w:val="22"/>
        </w:rPr>
        <w:t>Unless you have either the requisites for this course or written special permission from your Dean to enroll in it, you may be removed from this course and it will be deleted from your record. This decision may not be appealed.</w:t>
      </w:r>
    </w:p>
    <w:p w14:paraId="0A1FB623" w14:textId="77777777" w:rsidR="00705CCF" w:rsidRPr="00304A0E" w:rsidRDefault="00705CCF" w:rsidP="00705CCF"/>
    <w:p w14:paraId="2BA60B11" w14:textId="180F1E5B" w:rsidR="00116AD4" w:rsidRPr="001561DF" w:rsidRDefault="00705CCF" w:rsidP="00705CCF">
      <w:pPr>
        <w:rPr>
          <w:sz w:val="22"/>
          <w:szCs w:val="22"/>
        </w:rPr>
      </w:pPr>
      <w:r w:rsidRPr="00304A0E">
        <w:rPr>
          <w:rFonts w:ascii="Calibri" w:hAnsi="Calibri" w:cs="Calibri"/>
          <w:color w:val="000000" w:themeColor="text1"/>
          <w:sz w:val="22"/>
          <w:szCs w:val="22"/>
        </w:rPr>
        <w:t xml:space="preserve">It is optional to list prerequisites and/or anti-requisites or you could refer the student to the current StFX Academic Calendar at </w:t>
      </w:r>
      <w:hyperlink r:id="rId17" w:history="1">
        <w:r w:rsidR="00D4753E" w:rsidRPr="00304A0E">
          <w:rPr>
            <w:color w:val="0000FF"/>
            <w:sz w:val="22"/>
            <w:szCs w:val="22"/>
            <w:u w:val="single"/>
          </w:rPr>
          <w:t>Academic Calendars | St. Francis Xavier University (stfx.ca)</w:t>
        </w:r>
      </w:hyperlink>
    </w:p>
    <w:p w14:paraId="0D2D4451" w14:textId="5160AD5C" w:rsidR="00A95526" w:rsidRPr="003D1B0D" w:rsidRDefault="00A95526" w:rsidP="00A95526">
      <w:pPr>
        <w:pStyle w:val="Heading1"/>
        <w:rPr>
          <w:b/>
          <w:sz w:val="28"/>
          <w:szCs w:val="24"/>
          <w:u w:val="single"/>
        </w:rPr>
      </w:pPr>
      <w:r w:rsidRPr="003D1B0D">
        <w:rPr>
          <w:b/>
          <w:sz w:val="28"/>
          <w:szCs w:val="24"/>
          <w:u w:val="single"/>
        </w:rPr>
        <w:t>Description of Competencies/Graduate Attributes</w:t>
      </w:r>
    </w:p>
    <w:p w14:paraId="1CA27DDE" w14:textId="6340D724" w:rsidR="00A95526" w:rsidRPr="00304A0E" w:rsidRDefault="00A95526" w:rsidP="00A95526">
      <w:pPr>
        <w:pStyle w:val="ListBullet"/>
        <w:numPr>
          <w:ilvl w:val="0"/>
          <w:numId w:val="0"/>
        </w:numPr>
        <w:rPr>
          <w:color w:val="000000" w:themeColor="text1"/>
        </w:rPr>
      </w:pPr>
      <w:r w:rsidRPr="00304A0E">
        <w:rPr>
          <w:color w:val="000000" w:themeColor="text1"/>
        </w:rPr>
        <w:t>Some professional/accredited programs require that students be aware of expected competencies or graduate att</w:t>
      </w:r>
      <w:r w:rsidR="00116AD4" w:rsidRPr="00304A0E">
        <w:rPr>
          <w:color w:val="000000" w:themeColor="text1"/>
        </w:rPr>
        <w:t>ributes (e.g. Nursing, Engineering, Human Nutrition</w:t>
      </w:r>
      <w:r w:rsidRPr="00304A0E">
        <w:rPr>
          <w:color w:val="000000" w:themeColor="text1"/>
        </w:rPr>
        <w:t xml:space="preserve">). Describing such expectations for students within a course syllabus is good pedagogical practice. Oftentimes, a list of competencies </w:t>
      </w:r>
      <w:r w:rsidR="008D38FF" w:rsidRPr="00304A0E">
        <w:rPr>
          <w:color w:val="000000" w:themeColor="text1"/>
        </w:rPr>
        <w:t>is</w:t>
      </w:r>
      <w:r w:rsidRPr="00304A0E">
        <w:rPr>
          <w:color w:val="000000" w:themeColor="text1"/>
        </w:rPr>
        <w:t xml:space="preserve"> offered with check-boxed indication of which competencies/attributes the selected course will provide and how that fits within the entire program. </w:t>
      </w:r>
    </w:p>
    <w:p w14:paraId="21934BB7" w14:textId="142DC501" w:rsidR="009667BD" w:rsidRPr="003D1B0D" w:rsidRDefault="009667BD" w:rsidP="009667BD">
      <w:pPr>
        <w:pStyle w:val="Heading1"/>
        <w:rPr>
          <w:b/>
          <w:sz w:val="28"/>
          <w:szCs w:val="24"/>
          <w:u w:val="single"/>
        </w:rPr>
      </w:pPr>
      <w:r w:rsidRPr="003D1B0D">
        <w:rPr>
          <w:b/>
          <w:sz w:val="28"/>
          <w:szCs w:val="24"/>
          <w:u w:val="single"/>
        </w:rPr>
        <w:t>Laboratory or Tutorial Schedule (if applicable)</w:t>
      </w:r>
    </w:p>
    <w:p w14:paraId="2ACC6447" w14:textId="77777777" w:rsidR="009667BD" w:rsidRPr="00304A0E" w:rsidRDefault="009667BD" w:rsidP="009667BD">
      <w:pPr>
        <w:pStyle w:val="BodyText"/>
        <w:spacing w:before="90" w:line="240" w:lineRule="auto"/>
        <w:ind w:right="116"/>
        <w:jc w:val="both"/>
        <w:rPr>
          <w:color w:val="000000" w:themeColor="text1"/>
        </w:rPr>
      </w:pPr>
      <w:r w:rsidRPr="00304A0E">
        <w:rPr>
          <w:color w:val="000000" w:themeColor="text1"/>
        </w:rPr>
        <w:t xml:space="preserve">If the course has specific conditions associated with lab assessment, it must be provided in detail to the student. </w:t>
      </w:r>
    </w:p>
    <w:p w14:paraId="7E2FC57D" w14:textId="5EA4FBA4" w:rsidR="009667BD" w:rsidRPr="00304A0E" w:rsidRDefault="009667BD" w:rsidP="009667BD">
      <w:pPr>
        <w:pStyle w:val="BodyText"/>
        <w:spacing w:before="90" w:line="240" w:lineRule="auto"/>
        <w:ind w:right="116"/>
        <w:jc w:val="both"/>
        <w:rPr>
          <w:color w:val="000000" w:themeColor="text1"/>
        </w:rPr>
      </w:pPr>
      <w:r w:rsidRPr="00304A0E">
        <w:rPr>
          <w:color w:val="000000" w:themeColor="text1"/>
        </w:rPr>
        <w:t>For example: In order</w:t>
      </w:r>
      <w:r w:rsidR="008D38FF" w:rsidRPr="00304A0E">
        <w:rPr>
          <w:color w:val="000000" w:themeColor="text1"/>
        </w:rPr>
        <w:t xml:space="preserve"> </w:t>
      </w:r>
      <w:r w:rsidRPr="00304A0E">
        <w:rPr>
          <w:color w:val="000000" w:themeColor="text1"/>
        </w:rPr>
        <w:t xml:space="preserve">to pass the course, you must pass the course evaluations and the lab component separately. </w:t>
      </w:r>
      <w:r w:rsidR="0061621F" w:rsidRPr="00304A0E">
        <w:rPr>
          <w:color w:val="000000" w:themeColor="text1"/>
        </w:rPr>
        <w:t>For example, t</w:t>
      </w:r>
      <w:r w:rsidRPr="00304A0E">
        <w:rPr>
          <w:color w:val="000000" w:themeColor="text1"/>
        </w:rPr>
        <w:t xml:space="preserve">he passing grade for the lab component is </w:t>
      </w:r>
      <w:r w:rsidRPr="00304A0E">
        <w:rPr>
          <w:b/>
          <w:color w:val="000000" w:themeColor="text1"/>
          <w:u w:val="single"/>
        </w:rPr>
        <w:t>X%</w:t>
      </w:r>
      <w:r w:rsidR="0061621F" w:rsidRPr="00304A0E">
        <w:rPr>
          <w:bCs/>
          <w:color w:val="000000" w:themeColor="text1"/>
        </w:rPr>
        <w:t>, i</w:t>
      </w:r>
      <w:r w:rsidRPr="00304A0E">
        <w:rPr>
          <w:bCs/>
          <w:color w:val="000000" w:themeColor="text1"/>
        </w:rPr>
        <w:t xml:space="preserve">f </w:t>
      </w:r>
      <w:r w:rsidRPr="00304A0E">
        <w:rPr>
          <w:color w:val="000000" w:themeColor="text1"/>
        </w:rPr>
        <w:t xml:space="preserve">a student </w:t>
      </w:r>
      <w:r w:rsidRPr="00304A0E">
        <w:rPr>
          <w:b/>
          <w:color w:val="000000" w:themeColor="text1"/>
          <w:u w:val="single"/>
        </w:rPr>
        <w:t>fails to</w:t>
      </w:r>
      <w:r w:rsidRPr="00304A0E">
        <w:rPr>
          <w:b/>
          <w:color w:val="000000" w:themeColor="text1"/>
        </w:rPr>
        <w:t xml:space="preserve"> </w:t>
      </w:r>
      <w:r w:rsidRPr="00304A0E">
        <w:rPr>
          <w:b/>
          <w:color w:val="000000" w:themeColor="text1"/>
          <w:u w:val="single"/>
        </w:rPr>
        <w:t>complete</w:t>
      </w:r>
      <w:r w:rsidRPr="00304A0E">
        <w:rPr>
          <w:b/>
          <w:color w:val="000000" w:themeColor="text1"/>
        </w:rPr>
        <w:t xml:space="preserve"> </w:t>
      </w:r>
      <w:r w:rsidRPr="00304A0E">
        <w:rPr>
          <w:color w:val="000000" w:themeColor="text1"/>
        </w:rPr>
        <w:t xml:space="preserve">more than </w:t>
      </w:r>
      <w:r w:rsidRPr="00304A0E">
        <w:rPr>
          <w:b/>
          <w:color w:val="000000" w:themeColor="text1"/>
          <w:u w:val="single"/>
        </w:rPr>
        <w:t>3</w:t>
      </w:r>
      <w:r w:rsidRPr="00304A0E">
        <w:rPr>
          <w:b/>
          <w:color w:val="000000" w:themeColor="text1"/>
        </w:rPr>
        <w:t xml:space="preserve"> </w:t>
      </w:r>
      <w:r w:rsidRPr="00304A0E">
        <w:rPr>
          <w:color w:val="000000" w:themeColor="text1"/>
        </w:rPr>
        <w:t>labs, a failing grade will be assigned for the course</w:t>
      </w:r>
      <w:r w:rsidR="0061621F" w:rsidRPr="00304A0E">
        <w:rPr>
          <w:color w:val="000000" w:themeColor="text1"/>
        </w:rPr>
        <w:t>, etc</w:t>
      </w:r>
      <w:r w:rsidRPr="00304A0E">
        <w:rPr>
          <w:color w:val="000000" w:themeColor="text1"/>
        </w:rPr>
        <w:t xml:space="preserve">. A complete lab means carrying out the designated procedure and submitting a completed lab module for that procedure. Lab pre-labs and write-ups will account for </w:t>
      </w:r>
      <w:r w:rsidRPr="00304A0E">
        <w:rPr>
          <w:b/>
          <w:color w:val="000000" w:themeColor="text1"/>
        </w:rPr>
        <w:t>X%</w:t>
      </w:r>
      <w:r w:rsidRPr="00304A0E">
        <w:rPr>
          <w:color w:val="000000" w:themeColor="text1"/>
        </w:rPr>
        <w:t xml:space="preserve"> and a lab exam for the remaining </w:t>
      </w:r>
      <w:r w:rsidRPr="00304A0E">
        <w:rPr>
          <w:b/>
          <w:color w:val="000000" w:themeColor="text1"/>
        </w:rPr>
        <w:t>X%</w:t>
      </w:r>
      <w:r w:rsidRPr="00304A0E">
        <w:rPr>
          <w:color w:val="000000" w:themeColor="text1"/>
        </w:rPr>
        <w:t xml:space="preserve">. The lab exam will take place at </w:t>
      </w:r>
      <w:r w:rsidR="0061621F" w:rsidRPr="00304A0E">
        <w:rPr>
          <w:b/>
          <w:bCs/>
          <w:color w:val="000000" w:themeColor="text1"/>
          <w:u w:val="single"/>
        </w:rPr>
        <w:t>on this date at this time</w:t>
      </w:r>
      <w:r w:rsidRPr="00304A0E">
        <w:rPr>
          <w:color w:val="000000" w:themeColor="text1"/>
        </w:rPr>
        <w:t>.</w:t>
      </w:r>
    </w:p>
    <w:tbl>
      <w:tblPr>
        <w:tblStyle w:val="SyllabusTable"/>
        <w:tblW w:w="5075" w:type="pct"/>
        <w:tblLayout w:type="fixed"/>
        <w:tblLook w:val="0400" w:firstRow="0" w:lastRow="0" w:firstColumn="0" w:lastColumn="0" w:noHBand="0" w:noVBand="1"/>
        <w:tblDescription w:val="Course schedule information table"/>
      </w:tblPr>
      <w:tblGrid>
        <w:gridCol w:w="1564"/>
        <w:gridCol w:w="4075"/>
        <w:gridCol w:w="3861"/>
      </w:tblGrid>
      <w:tr w:rsidR="009667BD" w14:paraId="662E582D" w14:textId="77777777" w:rsidTr="009667BD">
        <w:sdt>
          <w:sdtPr>
            <w:rPr>
              <w:rFonts w:ascii="Calibri" w:hAnsi="Calibri" w:cs="Calibri"/>
            </w:rPr>
            <w:alias w:val="Enter week 1:"/>
            <w:tag w:val="Enter week 1:"/>
            <w:id w:val="2107763776"/>
            <w:placeholder>
              <w:docPart w:val="5F0C1DBB2CC64F488D0C1F1889EB68CC"/>
            </w:placeholder>
            <w:temporary/>
            <w:showingPlcHdr/>
            <w15:appearance w15:val="hidden"/>
          </w:sdtPr>
          <w:sdtContent>
            <w:tc>
              <w:tcPr>
                <w:tcW w:w="1564" w:type="dxa"/>
              </w:tcPr>
              <w:p w14:paraId="09B85A7A" w14:textId="77777777" w:rsidR="009667BD" w:rsidRPr="00DE179F" w:rsidRDefault="009667BD" w:rsidP="005C55B9">
                <w:pPr>
                  <w:rPr>
                    <w:rFonts w:ascii="Calibri" w:hAnsi="Calibri" w:cs="Calibri"/>
                  </w:rPr>
                </w:pPr>
                <w:r w:rsidRPr="00DE179F">
                  <w:rPr>
                    <w:rFonts w:ascii="Calibri" w:hAnsi="Calibri" w:cs="Calibri"/>
                  </w:rPr>
                  <w:t>Week 1</w:t>
                </w:r>
              </w:p>
            </w:tc>
          </w:sdtContent>
        </w:sdt>
        <w:tc>
          <w:tcPr>
            <w:tcW w:w="4075" w:type="dxa"/>
          </w:tcPr>
          <w:p w14:paraId="0073BCC9" w14:textId="77777777" w:rsidR="009667BD" w:rsidRPr="00DE179F" w:rsidRDefault="009667BD" w:rsidP="005C55B9">
            <w:pPr>
              <w:rPr>
                <w:rFonts w:ascii="Calibri" w:hAnsi="Calibri" w:cs="Calibri"/>
              </w:rPr>
            </w:pPr>
            <w:r w:rsidRPr="00DE179F">
              <w:rPr>
                <w:rFonts w:ascii="Calibri" w:hAnsi="Calibri" w:cs="Calibri"/>
              </w:rPr>
              <w:t>Enter Topic</w:t>
            </w:r>
          </w:p>
        </w:tc>
        <w:tc>
          <w:tcPr>
            <w:tcW w:w="3861" w:type="dxa"/>
          </w:tcPr>
          <w:p w14:paraId="731E22EA" w14:textId="77777777" w:rsidR="009667BD" w:rsidRDefault="009667BD" w:rsidP="005C55B9"/>
        </w:tc>
      </w:tr>
      <w:tr w:rsidR="009667BD" w14:paraId="36BB6F90" w14:textId="77777777" w:rsidTr="009667BD">
        <w:sdt>
          <w:sdtPr>
            <w:rPr>
              <w:rFonts w:ascii="Calibri" w:hAnsi="Calibri" w:cs="Calibri"/>
            </w:rPr>
            <w:alias w:val="Enter week 2:"/>
            <w:tag w:val="Enter week 2:"/>
            <w:id w:val="-821652529"/>
            <w:placeholder>
              <w:docPart w:val="9FE2BD36AE792A42A3EB02A7851C9D83"/>
            </w:placeholder>
            <w:temporary/>
            <w:showingPlcHdr/>
            <w15:appearance w15:val="hidden"/>
          </w:sdtPr>
          <w:sdtContent>
            <w:tc>
              <w:tcPr>
                <w:tcW w:w="1564" w:type="dxa"/>
              </w:tcPr>
              <w:p w14:paraId="1AF9B4C1" w14:textId="77777777" w:rsidR="009667BD" w:rsidRPr="00DE179F" w:rsidRDefault="009667BD" w:rsidP="005C55B9">
                <w:pPr>
                  <w:rPr>
                    <w:rFonts w:ascii="Calibri" w:hAnsi="Calibri" w:cs="Calibri"/>
                  </w:rPr>
                </w:pPr>
                <w:r w:rsidRPr="00DE179F">
                  <w:rPr>
                    <w:rFonts w:ascii="Calibri" w:hAnsi="Calibri" w:cs="Calibri"/>
                  </w:rPr>
                  <w:t>Week 2</w:t>
                </w:r>
              </w:p>
            </w:tc>
          </w:sdtContent>
        </w:sdt>
        <w:tc>
          <w:tcPr>
            <w:tcW w:w="4075" w:type="dxa"/>
          </w:tcPr>
          <w:p w14:paraId="789813FF" w14:textId="77777777" w:rsidR="009667BD" w:rsidRPr="00DE179F" w:rsidRDefault="009667BD" w:rsidP="005C55B9">
            <w:pPr>
              <w:rPr>
                <w:rFonts w:ascii="Calibri" w:hAnsi="Calibri" w:cs="Calibri"/>
              </w:rPr>
            </w:pPr>
            <w:r w:rsidRPr="00DE179F">
              <w:rPr>
                <w:rFonts w:ascii="Calibri" w:hAnsi="Calibri" w:cs="Calibri"/>
              </w:rPr>
              <w:t>Enter Topic</w:t>
            </w:r>
          </w:p>
        </w:tc>
        <w:tc>
          <w:tcPr>
            <w:tcW w:w="3861" w:type="dxa"/>
          </w:tcPr>
          <w:p w14:paraId="7D440D34" w14:textId="77777777" w:rsidR="009667BD" w:rsidRDefault="009667BD" w:rsidP="005C55B9"/>
        </w:tc>
      </w:tr>
      <w:tr w:rsidR="009667BD" w14:paraId="7BB69B63" w14:textId="77777777" w:rsidTr="009667BD">
        <w:sdt>
          <w:sdtPr>
            <w:rPr>
              <w:rFonts w:ascii="Calibri" w:hAnsi="Calibri" w:cs="Calibri"/>
            </w:rPr>
            <w:alias w:val="Enter week 3:"/>
            <w:tag w:val="Enter week 3:"/>
            <w:id w:val="-580141356"/>
            <w:placeholder>
              <w:docPart w:val="BB00EB0578FC8046A6BD5DB7A5F06898"/>
            </w:placeholder>
            <w:temporary/>
            <w:showingPlcHdr/>
            <w15:appearance w15:val="hidden"/>
          </w:sdtPr>
          <w:sdtContent>
            <w:tc>
              <w:tcPr>
                <w:tcW w:w="1564" w:type="dxa"/>
              </w:tcPr>
              <w:p w14:paraId="4FB3C1E6" w14:textId="77777777" w:rsidR="009667BD" w:rsidRPr="00DE179F" w:rsidRDefault="009667BD" w:rsidP="005C55B9">
                <w:pPr>
                  <w:rPr>
                    <w:rFonts w:ascii="Calibri" w:hAnsi="Calibri" w:cs="Calibri"/>
                  </w:rPr>
                </w:pPr>
                <w:r w:rsidRPr="00DE179F">
                  <w:rPr>
                    <w:rFonts w:ascii="Calibri" w:hAnsi="Calibri" w:cs="Calibri"/>
                  </w:rPr>
                  <w:t>Week 3</w:t>
                </w:r>
              </w:p>
            </w:tc>
          </w:sdtContent>
        </w:sdt>
        <w:tc>
          <w:tcPr>
            <w:tcW w:w="4075" w:type="dxa"/>
          </w:tcPr>
          <w:p w14:paraId="3E22858C" w14:textId="77777777" w:rsidR="009667BD" w:rsidRPr="00DE179F" w:rsidRDefault="009667BD" w:rsidP="005C55B9">
            <w:pPr>
              <w:rPr>
                <w:rFonts w:ascii="Calibri" w:hAnsi="Calibri" w:cs="Calibri"/>
              </w:rPr>
            </w:pPr>
            <w:r w:rsidRPr="00DE179F">
              <w:rPr>
                <w:rFonts w:ascii="Calibri" w:hAnsi="Calibri" w:cs="Calibri"/>
              </w:rPr>
              <w:t>Enter Topic</w:t>
            </w:r>
          </w:p>
        </w:tc>
        <w:tc>
          <w:tcPr>
            <w:tcW w:w="3861" w:type="dxa"/>
          </w:tcPr>
          <w:p w14:paraId="4D6A2267" w14:textId="77777777" w:rsidR="009667BD" w:rsidRDefault="009667BD" w:rsidP="005C55B9"/>
        </w:tc>
      </w:tr>
      <w:tr w:rsidR="009667BD" w14:paraId="0BAD39BB" w14:textId="77777777" w:rsidTr="009667BD">
        <w:sdt>
          <w:sdtPr>
            <w:rPr>
              <w:rFonts w:ascii="Calibri" w:hAnsi="Calibri" w:cs="Calibri"/>
            </w:rPr>
            <w:alias w:val="Enter week 4:"/>
            <w:tag w:val="Enter week 4:"/>
            <w:id w:val="530148982"/>
            <w:placeholder>
              <w:docPart w:val="EF0685C3176B05488AC0B5A2E02F5B9C"/>
            </w:placeholder>
            <w:temporary/>
            <w:showingPlcHdr/>
            <w15:appearance w15:val="hidden"/>
          </w:sdtPr>
          <w:sdtContent>
            <w:tc>
              <w:tcPr>
                <w:tcW w:w="1564" w:type="dxa"/>
              </w:tcPr>
              <w:p w14:paraId="27741A3B" w14:textId="77777777" w:rsidR="009667BD" w:rsidRPr="00DE179F" w:rsidRDefault="009667BD" w:rsidP="005C55B9">
                <w:pPr>
                  <w:rPr>
                    <w:rFonts w:ascii="Calibri" w:hAnsi="Calibri" w:cs="Calibri"/>
                  </w:rPr>
                </w:pPr>
                <w:r w:rsidRPr="00DE179F">
                  <w:rPr>
                    <w:rFonts w:ascii="Calibri" w:hAnsi="Calibri" w:cs="Calibri"/>
                  </w:rPr>
                  <w:t>Week 4</w:t>
                </w:r>
              </w:p>
            </w:tc>
          </w:sdtContent>
        </w:sdt>
        <w:tc>
          <w:tcPr>
            <w:tcW w:w="4075" w:type="dxa"/>
          </w:tcPr>
          <w:p w14:paraId="2C1F0740" w14:textId="77777777" w:rsidR="009667BD" w:rsidRPr="00DE179F" w:rsidRDefault="009667BD" w:rsidP="005C55B9">
            <w:pPr>
              <w:rPr>
                <w:rFonts w:ascii="Calibri" w:hAnsi="Calibri" w:cs="Calibri"/>
              </w:rPr>
            </w:pPr>
            <w:r w:rsidRPr="00DE179F">
              <w:rPr>
                <w:rFonts w:ascii="Calibri" w:hAnsi="Calibri" w:cs="Calibri"/>
              </w:rPr>
              <w:t>Enter Topic</w:t>
            </w:r>
          </w:p>
        </w:tc>
        <w:tc>
          <w:tcPr>
            <w:tcW w:w="3861" w:type="dxa"/>
          </w:tcPr>
          <w:p w14:paraId="3D65F678" w14:textId="77777777" w:rsidR="009667BD" w:rsidRDefault="009667BD" w:rsidP="005C55B9"/>
        </w:tc>
      </w:tr>
      <w:tr w:rsidR="009667BD" w14:paraId="1293A051" w14:textId="77777777" w:rsidTr="009667BD">
        <w:tc>
          <w:tcPr>
            <w:tcW w:w="1564" w:type="dxa"/>
          </w:tcPr>
          <w:p w14:paraId="0F8C7023" w14:textId="77777777" w:rsidR="009667BD" w:rsidRPr="00DE179F" w:rsidRDefault="009667BD" w:rsidP="005C55B9">
            <w:pPr>
              <w:rPr>
                <w:rFonts w:ascii="Calibri" w:hAnsi="Calibri" w:cs="Calibri"/>
              </w:rPr>
            </w:pPr>
            <w:r w:rsidRPr="00DE179F">
              <w:rPr>
                <w:rFonts w:ascii="Calibri" w:hAnsi="Calibri" w:cs="Calibri"/>
              </w:rPr>
              <w:t>Week 5</w:t>
            </w:r>
          </w:p>
        </w:tc>
        <w:tc>
          <w:tcPr>
            <w:tcW w:w="4075" w:type="dxa"/>
          </w:tcPr>
          <w:p w14:paraId="19B6A0D8" w14:textId="77777777" w:rsidR="009667BD" w:rsidRPr="00DE179F" w:rsidRDefault="009667BD" w:rsidP="005C55B9">
            <w:pPr>
              <w:rPr>
                <w:rFonts w:ascii="Calibri" w:hAnsi="Calibri" w:cs="Calibri"/>
              </w:rPr>
            </w:pPr>
            <w:r w:rsidRPr="00DE179F">
              <w:rPr>
                <w:rFonts w:ascii="Calibri" w:hAnsi="Calibri" w:cs="Calibri"/>
              </w:rPr>
              <w:t>Enter Topic</w:t>
            </w:r>
          </w:p>
        </w:tc>
        <w:tc>
          <w:tcPr>
            <w:tcW w:w="3861" w:type="dxa"/>
          </w:tcPr>
          <w:p w14:paraId="0E4545CE" w14:textId="77777777" w:rsidR="009667BD" w:rsidRDefault="009667BD" w:rsidP="005C55B9"/>
        </w:tc>
      </w:tr>
      <w:tr w:rsidR="009667BD" w14:paraId="3A702C40" w14:textId="77777777" w:rsidTr="009667BD">
        <w:tc>
          <w:tcPr>
            <w:tcW w:w="1564" w:type="dxa"/>
          </w:tcPr>
          <w:p w14:paraId="447A0AE8" w14:textId="77777777" w:rsidR="009667BD" w:rsidRPr="00DE179F" w:rsidRDefault="009667BD" w:rsidP="005C55B9">
            <w:pPr>
              <w:rPr>
                <w:rFonts w:ascii="Calibri" w:hAnsi="Calibri" w:cs="Calibri"/>
              </w:rPr>
            </w:pPr>
            <w:r w:rsidRPr="00DE179F">
              <w:rPr>
                <w:rFonts w:ascii="Calibri" w:hAnsi="Calibri" w:cs="Calibri"/>
              </w:rPr>
              <w:t>Week 6</w:t>
            </w:r>
          </w:p>
        </w:tc>
        <w:tc>
          <w:tcPr>
            <w:tcW w:w="4075" w:type="dxa"/>
          </w:tcPr>
          <w:p w14:paraId="19014B10" w14:textId="77777777" w:rsidR="009667BD" w:rsidRPr="00DE179F" w:rsidRDefault="009667BD" w:rsidP="005C55B9">
            <w:pPr>
              <w:rPr>
                <w:rFonts w:ascii="Calibri" w:hAnsi="Calibri" w:cs="Calibri"/>
              </w:rPr>
            </w:pPr>
            <w:r w:rsidRPr="00DE179F">
              <w:rPr>
                <w:rFonts w:ascii="Calibri" w:hAnsi="Calibri" w:cs="Calibri"/>
              </w:rPr>
              <w:t>Enter Topic</w:t>
            </w:r>
          </w:p>
        </w:tc>
        <w:tc>
          <w:tcPr>
            <w:tcW w:w="3861" w:type="dxa"/>
          </w:tcPr>
          <w:p w14:paraId="61A9640D" w14:textId="77777777" w:rsidR="009667BD" w:rsidRDefault="009667BD" w:rsidP="005C55B9"/>
        </w:tc>
      </w:tr>
      <w:tr w:rsidR="009667BD" w14:paraId="56FEF1B1" w14:textId="77777777" w:rsidTr="009667BD">
        <w:tc>
          <w:tcPr>
            <w:tcW w:w="1564" w:type="dxa"/>
          </w:tcPr>
          <w:p w14:paraId="7C5E71CE" w14:textId="77777777" w:rsidR="009667BD" w:rsidRPr="00DE179F" w:rsidRDefault="009667BD" w:rsidP="005C55B9">
            <w:pPr>
              <w:rPr>
                <w:rFonts w:ascii="Calibri" w:hAnsi="Calibri" w:cs="Calibri"/>
              </w:rPr>
            </w:pPr>
            <w:r w:rsidRPr="00DE179F">
              <w:rPr>
                <w:rFonts w:ascii="Calibri" w:hAnsi="Calibri" w:cs="Calibri"/>
              </w:rPr>
              <w:t>Week 7</w:t>
            </w:r>
          </w:p>
        </w:tc>
        <w:tc>
          <w:tcPr>
            <w:tcW w:w="4075" w:type="dxa"/>
          </w:tcPr>
          <w:p w14:paraId="4E40F4E1" w14:textId="77777777" w:rsidR="009667BD" w:rsidRPr="00DE179F" w:rsidRDefault="009667BD" w:rsidP="005C55B9">
            <w:pPr>
              <w:rPr>
                <w:rFonts w:ascii="Calibri" w:hAnsi="Calibri" w:cs="Calibri"/>
              </w:rPr>
            </w:pPr>
            <w:r w:rsidRPr="00DE179F">
              <w:rPr>
                <w:rFonts w:ascii="Calibri" w:hAnsi="Calibri" w:cs="Calibri"/>
              </w:rPr>
              <w:t>Enter Topic</w:t>
            </w:r>
          </w:p>
        </w:tc>
        <w:tc>
          <w:tcPr>
            <w:tcW w:w="3861" w:type="dxa"/>
          </w:tcPr>
          <w:p w14:paraId="2CFF3E1F" w14:textId="77777777" w:rsidR="009667BD" w:rsidRDefault="009667BD" w:rsidP="005C55B9"/>
        </w:tc>
      </w:tr>
      <w:tr w:rsidR="009667BD" w14:paraId="2D1B0A5B" w14:textId="77777777" w:rsidTr="009667BD">
        <w:tc>
          <w:tcPr>
            <w:tcW w:w="1564" w:type="dxa"/>
          </w:tcPr>
          <w:p w14:paraId="0D8B099E" w14:textId="77777777" w:rsidR="009667BD" w:rsidRPr="00DE179F" w:rsidRDefault="009667BD" w:rsidP="005C55B9">
            <w:pPr>
              <w:rPr>
                <w:rFonts w:ascii="Calibri" w:hAnsi="Calibri" w:cs="Calibri"/>
              </w:rPr>
            </w:pPr>
            <w:r w:rsidRPr="00DE179F">
              <w:rPr>
                <w:rFonts w:ascii="Calibri" w:hAnsi="Calibri" w:cs="Calibri"/>
              </w:rPr>
              <w:lastRenderedPageBreak/>
              <w:t>Week 8</w:t>
            </w:r>
          </w:p>
        </w:tc>
        <w:tc>
          <w:tcPr>
            <w:tcW w:w="4075" w:type="dxa"/>
          </w:tcPr>
          <w:p w14:paraId="29FC9E9C" w14:textId="77777777" w:rsidR="009667BD" w:rsidRPr="00DE179F" w:rsidRDefault="009667BD" w:rsidP="005C55B9">
            <w:pPr>
              <w:rPr>
                <w:rFonts w:ascii="Calibri" w:hAnsi="Calibri" w:cs="Calibri"/>
              </w:rPr>
            </w:pPr>
            <w:r w:rsidRPr="00DE179F">
              <w:rPr>
                <w:rFonts w:ascii="Calibri" w:hAnsi="Calibri" w:cs="Calibri"/>
              </w:rPr>
              <w:t>Enter Topic</w:t>
            </w:r>
          </w:p>
        </w:tc>
        <w:tc>
          <w:tcPr>
            <w:tcW w:w="3861" w:type="dxa"/>
          </w:tcPr>
          <w:p w14:paraId="5B5D8097" w14:textId="77777777" w:rsidR="009667BD" w:rsidRDefault="009667BD" w:rsidP="005C55B9"/>
        </w:tc>
      </w:tr>
      <w:tr w:rsidR="009667BD" w14:paraId="16C8779B" w14:textId="77777777" w:rsidTr="009667BD">
        <w:tc>
          <w:tcPr>
            <w:tcW w:w="1564" w:type="dxa"/>
          </w:tcPr>
          <w:p w14:paraId="01691550" w14:textId="77777777" w:rsidR="009667BD" w:rsidRPr="00DE179F" w:rsidRDefault="009667BD" w:rsidP="005C55B9">
            <w:pPr>
              <w:rPr>
                <w:rFonts w:ascii="Calibri" w:hAnsi="Calibri" w:cs="Calibri"/>
              </w:rPr>
            </w:pPr>
            <w:r w:rsidRPr="00DE179F">
              <w:rPr>
                <w:rFonts w:ascii="Calibri" w:hAnsi="Calibri" w:cs="Calibri"/>
              </w:rPr>
              <w:t>Week 9</w:t>
            </w:r>
          </w:p>
        </w:tc>
        <w:tc>
          <w:tcPr>
            <w:tcW w:w="4075" w:type="dxa"/>
          </w:tcPr>
          <w:p w14:paraId="37633FC8" w14:textId="77777777" w:rsidR="009667BD" w:rsidRPr="00DE179F" w:rsidRDefault="009667BD" w:rsidP="005C55B9">
            <w:pPr>
              <w:rPr>
                <w:rFonts w:ascii="Calibri" w:hAnsi="Calibri" w:cs="Calibri"/>
              </w:rPr>
            </w:pPr>
            <w:r w:rsidRPr="00DE179F">
              <w:rPr>
                <w:rFonts w:ascii="Calibri" w:hAnsi="Calibri" w:cs="Calibri"/>
              </w:rPr>
              <w:t>Enter Topic</w:t>
            </w:r>
          </w:p>
        </w:tc>
        <w:tc>
          <w:tcPr>
            <w:tcW w:w="3861" w:type="dxa"/>
          </w:tcPr>
          <w:p w14:paraId="7592AB74" w14:textId="77777777" w:rsidR="009667BD" w:rsidRDefault="009667BD" w:rsidP="005C55B9"/>
        </w:tc>
      </w:tr>
      <w:tr w:rsidR="009667BD" w14:paraId="22AF41DA" w14:textId="77777777" w:rsidTr="009667BD">
        <w:tc>
          <w:tcPr>
            <w:tcW w:w="1564" w:type="dxa"/>
          </w:tcPr>
          <w:p w14:paraId="23A12F88" w14:textId="77777777" w:rsidR="009667BD" w:rsidRPr="00DE179F" w:rsidRDefault="009667BD" w:rsidP="005C55B9">
            <w:pPr>
              <w:rPr>
                <w:rFonts w:ascii="Calibri" w:hAnsi="Calibri" w:cs="Calibri"/>
              </w:rPr>
            </w:pPr>
            <w:r w:rsidRPr="00DE179F">
              <w:rPr>
                <w:rFonts w:ascii="Calibri" w:hAnsi="Calibri" w:cs="Calibri"/>
              </w:rPr>
              <w:t>Week 10</w:t>
            </w:r>
          </w:p>
        </w:tc>
        <w:tc>
          <w:tcPr>
            <w:tcW w:w="4075" w:type="dxa"/>
          </w:tcPr>
          <w:p w14:paraId="79A92D0D" w14:textId="77777777" w:rsidR="009667BD" w:rsidRPr="00DE179F" w:rsidRDefault="009667BD" w:rsidP="005C55B9">
            <w:pPr>
              <w:rPr>
                <w:rFonts w:ascii="Calibri" w:hAnsi="Calibri" w:cs="Calibri"/>
              </w:rPr>
            </w:pPr>
            <w:r w:rsidRPr="00DE179F">
              <w:rPr>
                <w:rFonts w:ascii="Calibri" w:hAnsi="Calibri" w:cs="Calibri"/>
              </w:rPr>
              <w:t>Enter Topic</w:t>
            </w:r>
          </w:p>
        </w:tc>
        <w:tc>
          <w:tcPr>
            <w:tcW w:w="3861" w:type="dxa"/>
          </w:tcPr>
          <w:p w14:paraId="6A3231D9" w14:textId="77777777" w:rsidR="009667BD" w:rsidRDefault="009667BD" w:rsidP="005C55B9"/>
        </w:tc>
      </w:tr>
      <w:tr w:rsidR="009667BD" w14:paraId="01622F59" w14:textId="77777777" w:rsidTr="009667BD">
        <w:tc>
          <w:tcPr>
            <w:tcW w:w="1564" w:type="dxa"/>
          </w:tcPr>
          <w:p w14:paraId="387E10E0" w14:textId="77777777" w:rsidR="009667BD" w:rsidRPr="00DE179F" w:rsidRDefault="009667BD" w:rsidP="005C55B9">
            <w:pPr>
              <w:rPr>
                <w:rFonts w:ascii="Calibri" w:hAnsi="Calibri" w:cs="Calibri"/>
              </w:rPr>
            </w:pPr>
            <w:r w:rsidRPr="00DE179F">
              <w:rPr>
                <w:rFonts w:ascii="Calibri" w:hAnsi="Calibri" w:cs="Calibri"/>
              </w:rPr>
              <w:t>Week 11</w:t>
            </w:r>
          </w:p>
        </w:tc>
        <w:tc>
          <w:tcPr>
            <w:tcW w:w="4075" w:type="dxa"/>
          </w:tcPr>
          <w:p w14:paraId="575A428E" w14:textId="77777777" w:rsidR="009667BD" w:rsidRPr="00DE179F" w:rsidRDefault="009667BD" w:rsidP="005C55B9">
            <w:pPr>
              <w:rPr>
                <w:rFonts w:ascii="Calibri" w:hAnsi="Calibri" w:cs="Calibri"/>
              </w:rPr>
            </w:pPr>
            <w:r w:rsidRPr="00DE179F">
              <w:rPr>
                <w:rFonts w:ascii="Calibri" w:hAnsi="Calibri" w:cs="Calibri"/>
              </w:rPr>
              <w:t>Enter Topic</w:t>
            </w:r>
          </w:p>
        </w:tc>
        <w:tc>
          <w:tcPr>
            <w:tcW w:w="3861" w:type="dxa"/>
          </w:tcPr>
          <w:p w14:paraId="3CB831FB" w14:textId="77777777" w:rsidR="009667BD" w:rsidRDefault="009667BD" w:rsidP="005C55B9"/>
        </w:tc>
      </w:tr>
      <w:tr w:rsidR="009667BD" w14:paraId="3AFD4BF1" w14:textId="77777777" w:rsidTr="009667BD">
        <w:tc>
          <w:tcPr>
            <w:tcW w:w="1564" w:type="dxa"/>
          </w:tcPr>
          <w:p w14:paraId="2EBF0F8C" w14:textId="77777777" w:rsidR="009667BD" w:rsidRPr="00DE179F" w:rsidRDefault="009667BD" w:rsidP="005C55B9">
            <w:pPr>
              <w:rPr>
                <w:rFonts w:ascii="Calibri" w:hAnsi="Calibri" w:cs="Calibri"/>
              </w:rPr>
            </w:pPr>
            <w:r w:rsidRPr="00DE179F">
              <w:rPr>
                <w:rFonts w:ascii="Calibri" w:hAnsi="Calibri" w:cs="Calibri"/>
              </w:rPr>
              <w:t>Week 12</w:t>
            </w:r>
          </w:p>
        </w:tc>
        <w:tc>
          <w:tcPr>
            <w:tcW w:w="4075" w:type="dxa"/>
          </w:tcPr>
          <w:p w14:paraId="72C439C3" w14:textId="77777777" w:rsidR="009667BD" w:rsidRPr="00DE179F" w:rsidRDefault="009667BD" w:rsidP="005C55B9">
            <w:pPr>
              <w:rPr>
                <w:rFonts w:ascii="Calibri" w:hAnsi="Calibri" w:cs="Calibri"/>
              </w:rPr>
            </w:pPr>
            <w:r w:rsidRPr="00DE179F">
              <w:rPr>
                <w:rFonts w:ascii="Calibri" w:hAnsi="Calibri" w:cs="Calibri"/>
              </w:rPr>
              <w:t>Enter Topic</w:t>
            </w:r>
          </w:p>
        </w:tc>
        <w:tc>
          <w:tcPr>
            <w:tcW w:w="3861" w:type="dxa"/>
          </w:tcPr>
          <w:p w14:paraId="6CE8D341" w14:textId="77777777" w:rsidR="009667BD" w:rsidRDefault="009667BD" w:rsidP="005C55B9"/>
        </w:tc>
      </w:tr>
    </w:tbl>
    <w:p w14:paraId="490BD8EC" w14:textId="77777777" w:rsidR="009667BD" w:rsidRPr="00496518" w:rsidRDefault="009667BD" w:rsidP="009667BD"/>
    <w:p w14:paraId="0E76D070" w14:textId="4139F6EE" w:rsidR="00E72076" w:rsidRPr="003D1B0D" w:rsidRDefault="00E72076" w:rsidP="00E72076">
      <w:pPr>
        <w:pStyle w:val="Heading1"/>
        <w:rPr>
          <w:b/>
          <w:sz w:val="28"/>
          <w:szCs w:val="24"/>
          <w:u w:val="single"/>
        </w:rPr>
      </w:pPr>
      <w:r w:rsidRPr="003D1B0D">
        <w:rPr>
          <w:b/>
          <w:sz w:val="28"/>
          <w:szCs w:val="24"/>
          <w:u w:val="single"/>
        </w:rPr>
        <w:t>Statement on Electronic Devices</w:t>
      </w:r>
    </w:p>
    <w:p w14:paraId="7F2708CA" w14:textId="22778122" w:rsidR="00E72076" w:rsidRPr="006943A2" w:rsidRDefault="00E72076" w:rsidP="00E72076">
      <w:pPr>
        <w:rPr>
          <w:rFonts w:ascii="Calibri" w:hAnsi="Calibri" w:cs="Calibri"/>
          <w:b/>
          <w:bCs/>
          <w:sz w:val="22"/>
          <w:szCs w:val="22"/>
        </w:rPr>
      </w:pPr>
      <w:r w:rsidRPr="006943A2">
        <w:rPr>
          <w:rFonts w:ascii="Calibri" w:hAnsi="Calibri" w:cs="Calibri"/>
          <w:b/>
          <w:bCs/>
          <w:sz w:val="22"/>
          <w:szCs w:val="22"/>
          <w:u w:val="single"/>
        </w:rPr>
        <w:t>During Exams:</w:t>
      </w:r>
      <w:r w:rsidRPr="006943A2">
        <w:rPr>
          <w:rFonts w:ascii="Calibri" w:hAnsi="Calibri" w:cs="Calibri"/>
          <w:sz w:val="22"/>
          <w:szCs w:val="22"/>
        </w:rPr>
        <w:t xml:space="preserve"> Unless you have medical accommodations that require you to do so, or explicit permission from the instructor of the course, you may not use any of the following electronic devices during ANY of the tests, midterms, examinations, or other in-class evaluations: cellphones, smart phones, smart watches, smart glasses, audio players or recorders of any sort, video cameras, video games, DVD players, televisions, laptop/notebook/netbook computers, flashlights or laser pointers.</w:t>
      </w:r>
      <w:r w:rsidR="00933AD3" w:rsidRPr="006943A2">
        <w:rPr>
          <w:rFonts w:ascii="Calibri" w:hAnsi="Calibri" w:cs="Calibri"/>
          <w:sz w:val="22"/>
          <w:szCs w:val="22"/>
        </w:rPr>
        <w:t xml:space="preserve"> </w:t>
      </w:r>
      <w:r w:rsidR="00E070CF" w:rsidRPr="006943A2">
        <w:rPr>
          <w:rFonts w:ascii="Calibri" w:hAnsi="Calibri" w:cs="Calibri"/>
          <w:b/>
          <w:bCs/>
          <w:sz w:val="22"/>
          <w:szCs w:val="22"/>
        </w:rPr>
        <w:t xml:space="preserve">N.B. </w:t>
      </w:r>
      <w:r w:rsidR="00E070CF" w:rsidRPr="006943A2">
        <w:rPr>
          <w:b/>
          <w:bCs/>
          <w:sz w:val="22"/>
          <w:szCs w:val="22"/>
        </w:rPr>
        <w:t xml:space="preserve">Possession of an unauthorized device during a test or examination may constitute a violation of the Academic Integrity Policy, </w:t>
      </w:r>
      <w:r w:rsidR="00E070CF" w:rsidRPr="006943A2">
        <w:rPr>
          <w:b/>
          <w:bCs/>
          <w:sz w:val="22"/>
          <w:szCs w:val="22"/>
          <w:u w:val="single"/>
        </w:rPr>
        <w:t>regardless of whether the device is actively used.</w:t>
      </w:r>
    </w:p>
    <w:p w14:paraId="7D83BF29" w14:textId="42497B36" w:rsidR="009948D8" w:rsidRPr="00E025A3" w:rsidRDefault="009948D8" w:rsidP="00E72076">
      <w:pPr>
        <w:rPr>
          <w:rFonts w:ascii="Calibri" w:hAnsi="Calibri" w:cs="Calibri"/>
          <w:sz w:val="22"/>
          <w:szCs w:val="22"/>
        </w:rPr>
      </w:pPr>
    </w:p>
    <w:p w14:paraId="026D7ED9" w14:textId="3E2B9EEA" w:rsidR="00E72076" w:rsidRPr="006943A2" w:rsidRDefault="00E72076" w:rsidP="00E72076">
      <w:pPr>
        <w:rPr>
          <w:rFonts w:ascii="Calibri" w:hAnsi="Calibri" w:cs="Calibri"/>
          <w:sz w:val="22"/>
          <w:szCs w:val="22"/>
        </w:rPr>
      </w:pPr>
      <w:r w:rsidRPr="006943A2">
        <w:rPr>
          <w:rFonts w:ascii="Calibri" w:hAnsi="Calibri" w:cs="Calibri"/>
          <w:b/>
          <w:bCs/>
          <w:sz w:val="22"/>
          <w:szCs w:val="22"/>
          <w:u w:val="single"/>
        </w:rPr>
        <w:t>During Lectures and Tutorials:</w:t>
      </w:r>
      <w:r w:rsidRPr="006943A2">
        <w:rPr>
          <w:rFonts w:ascii="Calibri" w:hAnsi="Calibri" w:cs="Calibri"/>
          <w:sz w:val="22"/>
          <w:szCs w:val="22"/>
        </w:rPr>
        <w:t xml:space="preserve"> Course instructors may permit the use a computer during lecture and tutorial periods. If so, you are expected to use the computer for scholastic purposes only, and refrain from engaging in any activities that may distract other students from learning. From time to time, your professor may ask the class to turn off all computers, to facilitate learning or discussion of the material presented in a particular class. </w:t>
      </w:r>
      <w:r w:rsidRPr="006943A2">
        <w:rPr>
          <w:rFonts w:ascii="Calibri" w:hAnsi="Calibri" w:cs="Calibri"/>
          <w:i/>
          <w:iCs/>
          <w:sz w:val="22"/>
          <w:szCs w:val="22"/>
          <w:u w:val="single"/>
        </w:rPr>
        <w:t>Unless explicitly noted otherwise, you may not make audio or video recordings of lectures – nor may you edit, re-use, distribute, or re-broadcast any of the material posted to the course website.</w:t>
      </w:r>
    </w:p>
    <w:p w14:paraId="3DA80F2B" w14:textId="77777777" w:rsidR="00E72076" w:rsidRPr="003D1B0D" w:rsidRDefault="00E72076" w:rsidP="00E72076">
      <w:pPr>
        <w:pStyle w:val="Heading1"/>
        <w:rPr>
          <w:b/>
          <w:sz w:val="28"/>
          <w:szCs w:val="24"/>
          <w:u w:val="single"/>
        </w:rPr>
      </w:pPr>
      <w:r w:rsidRPr="003D1B0D">
        <w:rPr>
          <w:b/>
          <w:sz w:val="28"/>
          <w:szCs w:val="24"/>
          <w:u w:val="single"/>
        </w:rPr>
        <w:t>Statement on use of Personal Response Systems (‘clickers’)</w:t>
      </w:r>
    </w:p>
    <w:p w14:paraId="735AB146" w14:textId="53EC66EA" w:rsidR="00E72076" w:rsidRPr="006943A2" w:rsidRDefault="00E72076" w:rsidP="00E72076">
      <w:pPr>
        <w:pStyle w:val="Default"/>
        <w:rPr>
          <w:rFonts w:ascii="Calibri" w:hAnsi="Calibri" w:cs="Calibri"/>
          <w:color w:val="000000" w:themeColor="text1"/>
          <w:sz w:val="22"/>
          <w:szCs w:val="22"/>
        </w:rPr>
      </w:pPr>
      <w:r w:rsidRPr="006943A2">
        <w:rPr>
          <w:rFonts w:ascii="Calibri" w:hAnsi="Calibri" w:cs="Calibri"/>
          <w:color w:val="000000" w:themeColor="text1"/>
          <w:sz w:val="22"/>
          <w:szCs w:val="22"/>
        </w:rPr>
        <w:t>If Personal Response Systems (“Clickers”) are used in the course, instructors are to communicate clearly to students information on how clickers are used including: how the student’s privacy will be protected, how clickers may be used by the instructor for data gathering and for evaluating the student, and why they cannot be used by anyone but the student (since the students involved in misuse of a clicker may be charged with a scholastic offence).</w:t>
      </w:r>
    </w:p>
    <w:p w14:paraId="5498082A" w14:textId="5930693B" w:rsidR="00E72076" w:rsidRPr="003D1B0D" w:rsidRDefault="00E72076" w:rsidP="00E72076">
      <w:pPr>
        <w:pStyle w:val="Heading1"/>
        <w:rPr>
          <w:b/>
          <w:sz w:val="28"/>
          <w:u w:val="single"/>
        </w:rPr>
      </w:pPr>
      <w:r w:rsidRPr="003D1B0D">
        <w:rPr>
          <w:b/>
          <w:sz w:val="28"/>
          <w:u w:val="single"/>
        </w:rPr>
        <w:t>Policy on Academic Integrity</w:t>
      </w:r>
    </w:p>
    <w:p w14:paraId="69A4BD72" w14:textId="77777777" w:rsidR="00116AD4" w:rsidRPr="006943A2" w:rsidRDefault="00E72076" w:rsidP="00E72076">
      <w:pPr>
        <w:rPr>
          <w:rFonts w:ascii="Calibri" w:hAnsi="Calibri" w:cs="Calibri"/>
          <w:sz w:val="22"/>
          <w:szCs w:val="22"/>
        </w:rPr>
      </w:pPr>
      <w:r w:rsidRPr="006943A2">
        <w:rPr>
          <w:rFonts w:ascii="Calibri" w:hAnsi="Calibri" w:cs="Calibri"/>
          <w:sz w:val="22"/>
          <w:szCs w:val="22"/>
        </w:rPr>
        <w:t xml:space="preserve">Please ensure that you are aware of the policy on Academic Integrity. Details can be found at: </w:t>
      </w:r>
    </w:p>
    <w:p w14:paraId="5635972F" w14:textId="38DB1C77" w:rsidR="00F1658D" w:rsidRPr="006943A2" w:rsidRDefault="00F1658D" w:rsidP="0061621F">
      <w:pPr>
        <w:rPr>
          <w:rFonts w:ascii="Calibri" w:hAnsi="Calibri"/>
          <w:color w:val="000000"/>
          <w:sz w:val="22"/>
          <w:szCs w:val="22"/>
        </w:rPr>
      </w:pPr>
      <w:hyperlink r:id="rId18" w:history="1">
        <w:r w:rsidRPr="006943A2">
          <w:rPr>
            <w:color w:val="0000FF"/>
            <w:sz w:val="22"/>
            <w:szCs w:val="22"/>
            <w:u w:val="single"/>
          </w:rPr>
          <w:t>Academic Integrity | St. Francis Xavier University (stfx.ca)</w:t>
        </w:r>
      </w:hyperlink>
    </w:p>
    <w:p w14:paraId="7C4BA3E9" w14:textId="0E510B92" w:rsidR="0061621F" w:rsidRPr="006943A2" w:rsidRDefault="0061621F" w:rsidP="0061621F">
      <w:pPr>
        <w:rPr>
          <w:sz w:val="22"/>
          <w:szCs w:val="22"/>
        </w:rPr>
      </w:pPr>
      <w:r w:rsidRPr="006943A2">
        <w:rPr>
          <w:rFonts w:ascii="Calibri" w:hAnsi="Calibri"/>
          <w:color w:val="000000"/>
          <w:sz w:val="22"/>
          <w:szCs w:val="22"/>
        </w:rPr>
        <w:t xml:space="preserve">A short, interesting and easy “book” to review basics of academic integrity for students is available here for instructors: </w:t>
      </w:r>
      <w:hyperlink r:id="rId19" w:tooltip="https://pressbooks.bccampus.ca/encourageacademicintegrity/" w:history="1">
        <w:r w:rsidRPr="006943A2">
          <w:rPr>
            <w:rStyle w:val="Hyperlink"/>
            <w:rFonts w:ascii="Calibri" w:hAnsi="Calibri"/>
            <w:color w:val="0563C1"/>
            <w:sz w:val="22"/>
            <w:szCs w:val="22"/>
          </w:rPr>
          <w:t>https://pressbooks.bccampus.ca/encourageacademicintegrity/</w:t>
        </w:r>
      </w:hyperlink>
    </w:p>
    <w:p w14:paraId="6D10F9A7" w14:textId="37A582ED" w:rsidR="00C33FEE" w:rsidRPr="006943A2" w:rsidRDefault="00C33FEE" w:rsidP="0061621F">
      <w:pPr>
        <w:rPr>
          <w:rFonts w:ascii="Calibri" w:hAnsi="Calibri"/>
          <w:color w:val="000000"/>
          <w:sz w:val="22"/>
          <w:szCs w:val="22"/>
        </w:rPr>
      </w:pPr>
      <w:r w:rsidRPr="006943A2">
        <w:rPr>
          <w:sz w:val="22"/>
          <w:szCs w:val="22"/>
        </w:rPr>
        <w:t xml:space="preserve">Sample syllabus statements </w:t>
      </w:r>
      <w:hyperlink r:id="rId20" w:history="1">
        <w:r w:rsidRPr="006943A2">
          <w:rPr>
            <w:rStyle w:val="Hyperlink"/>
            <w:sz w:val="22"/>
            <w:szCs w:val="22"/>
          </w:rPr>
          <w:t>available on this site.</w:t>
        </w:r>
      </w:hyperlink>
    </w:p>
    <w:p w14:paraId="42CDA099" w14:textId="6596DE21" w:rsidR="00E72076" w:rsidRDefault="00E72076" w:rsidP="00E72076"/>
    <w:p w14:paraId="2DE2A189" w14:textId="77777777" w:rsidR="00E72076" w:rsidRPr="003D1B0D" w:rsidRDefault="00E72076" w:rsidP="00E72076">
      <w:pPr>
        <w:rPr>
          <w:rFonts w:asciiTheme="majorHAnsi" w:hAnsiTheme="majorHAnsi"/>
          <w:b/>
          <w:color w:val="44546A" w:themeColor="text2"/>
          <w:sz w:val="28"/>
          <w:szCs w:val="28"/>
          <w:u w:val="single"/>
        </w:rPr>
      </w:pPr>
      <w:r w:rsidRPr="003D1B0D">
        <w:rPr>
          <w:rFonts w:asciiTheme="majorHAnsi" w:hAnsiTheme="majorHAnsi"/>
          <w:b/>
          <w:color w:val="44546A" w:themeColor="text2"/>
          <w:sz w:val="28"/>
          <w:szCs w:val="28"/>
          <w:u w:val="single"/>
        </w:rPr>
        <w:t>Support Services</w:t>
      </w:r>
    </w:p>
    <w:p w14:paraId="6A5BD35E" w14:textId="193B5F5D" w:rsidR="00E72076" w:rsidRPr="006943A2" w:rsidRDefault="00E72076" w:rsidP="00E72076">
      <w:pPr>
        <w:rPr>
          <w:rFonts w:ascii="Calibri" w:hAnsi="Calibri" w:cs="Calibri"/>
          <w:sz w:val="22"/>
          <w:szCs w:val="22"/>
        </w:rPr>
      </w:pPr>
      <w:r w:rsidRPr="006943A2">
        <w:rPr>
          <w:rFonts w:ascii="Calibri" w:hAnsi="Calibri" w:cs="Calibri"/>
          <w:sz w:val="22"/>
          <w:szCs w:val="22"/>
        </w:rPr>
        <w:t xml:space="preserve">There are various support services </w:t>
      </w:r>
      <w:r w:rsidR="00EE1A66" w:rsidRPr="006943A2">
        <w:rPr>
          <w:rFonts w:ascii="Calibri" w:hAnsi="Calibri" w:cs="Calibri"/>
          <w:sz w:val="22"/>
          <w:szCs w:val="22"/>
        </w:rPr>
        <w:t>available and</w:t>
      </w:r>
      <w:r w:rsidRPr="006943A2">
        <w:rPr>
          <w:rFonts w:ascii="Calibri" w:hAnsi="Calibri" w:cs="Calibri"/>
          <w:sz w:val="22"/>
          <w:szCs w:val="22"/>
        </w:rPr>
        <w:t xml:space="preserve"> these include, but are not limited to:</w:t>
      </w:r>
    </w:p>
    <w:p w14:paraId="3D3ED7AE" w14:textId="0222E755" w:rsidR="00AF1A85" w:rsidRPr="006943A2" w:rsidRDefault="00370B66" w:rsidP="00AF1A85">
      <w:pPr>
        <w:pStyle w:val="ListParagraph"/>
        <w:numPr>
          <w:ilvl w:val="0"/>
          <w:numId w:val="1"/>
        </w:numPr>
        <w:rPr>
          <w:rFonts w:cs="Calibri"/>
        </w:rPr>
      </w:pPr>
      <w:r w:rsidRPr="006943A2">
        <w:rPr>
          <w:rFonts w:cs="Calibri"/>
          <w:color w:val="000000" w:themeColor="text1"/>
        </w:rPr>
        <w:t xml:space="preserve">Student Life:  </w:t>
      </w:r>
    </w:p>
    <w:p w14:paraId="392C39B2" w14:textId="0AE751F7" w:rsidR="00AF1A85" w:rsidRPr="006943A2" w:rsidRDefault="00AF1A85" w:rsidP="00AF1A85">
      <w:pPr>
        <w:pStyle w:val="ListParagraph"/>
        <w:ind w:firstLine="0"/>
        <w:rPr>
          <w:rFonts w:asciiTheme="minorHAnsi" w:hAnsiTheme="minorHAnsi"/>
          <w:color w:val="auto"/>
        </w:rPr>
      </w:pPr>
      <w:hyperlink r:id="rId21" w:history="1">
        <w:r w:rsidRPr="006943A2">
          <w:rPr>
            <w:rFonts w:asciiTheme="minorHAnsi" w:hAnsiTheme="minorHAnsi"/>
            <w:color w:val="0000FF"/>
            <w:u w:val="single"/>
          </w:rPr>
          <w:t>Student Services | St. Francis Xavier University (stfx.ca)</w:t>
        </w:r>
      </w:hyperlink>
    </w:p>
    <w:p w14:paraId="67402A20" w14:textId="77777777" w:rsidR="00AF1A85" w:rsidRPr="006943A2" w:rsidRDefault="00AF1A85" w:rsidP="00AF1A85">
      <w:pPr>
        <w:pStyle w:val="ListParagraph"/>
        <w:ind w:firstLine="0"/>
        <w:rPr>
          <w:rFonts w:cs="Calibri"/>
        </w:rPr>
      </w:pPr>
    </w:p>
    <w:p w14:paraId="442AF556" w14:textId="1D22B18F" w:rsidR="00940AF2" w:rsidRPr="006943A2" w:rsidRDefault="00370B66" w:rsidP="00AF1A85">
      <w:pPr>
        <w:pStyle w:val="ListParagraph"/>
        <w:numPr>
          <w:ilvl w:val="0"/>
          <w:numId w:val="1"/>
        </w:numPr>
        <w:rPr>
          <w:rFonts w:cs="Calibri"/>
        </w:rPr>
      </w:pPr>
      <w:r w:rsidRPr="006943A2">
        <w:rPr>
          <w:rFonts w:cs="Calibri"/>
          <w:color w:val="000000" w:themeColor="text1"/>
        </w:rPr>
        <w:t>Office of the Registrar</w:t>
      </w:r>
      <w:r w:rsidR="00940AF2" w:rsidRPr="006943A2">
        <w:rPr>
          <w:rFonts w:cs="Calibri"/>
          <w:color w:val="000000" w:themeColor="text1"/>
        </w:rPr>
        <w:t xml:space="preserve">: </w:t>
      </w:r>
    </w:p>
    <w:p w14:paraId="570277DD" w14:textId="60C040D1" w:rsidR="00AF1A85" w:rsidRPr="006943A2" w:rsidRDefault="00AF1A85" w:rsidP="00AF1A85">
      <w:pPr>
        <w:pStyle w:val="ListParagraph"/>
        <w:ind w:firstLine="0"/>
        <w:rPr>
          <w:rFonts w:asciiTheme="minorHAnsi" w:hAnsiTheme="minorHAnsi"/>
          <w:color w:val="auto"/>
        </w:rPr>
      </w:pPr>
      <w:hyperlink r:id="rId22" w:history="1">
        <w:r w:rsidRPr="006943A2">
          <w:rPr>
            <w:rFonts w:asciiTheme="minorHAnsi" w:hAnsiTheme="minorHAnsi"/>
            <w:color w:val="0000FF"/>
            <w:u w:val="single"/>
          </w:rPr>
          <w:t>Registrar’s Office | St. Francis Xavier University (stfx.ca)</w:t>
        </w:r>
      </w:hyperlink>
    </w:p>
    <w:p w14:paraId="4A837CA0" w14:textId="77777777" w:rsidR="008B390C" w:rsidRPr="006943A2" w:rsidRDefault="008B390C" w:rsidP="00AF1A85">
      <w:pPr>
        <w:pStyle w:val="ListParagraph"/>
        <w:ind w:firstLine="0"/>
        <w:rPr>
          <w:rFonts w:cs="Calibri"/>
        </w:rPr>
      </w:pPr>
    </w:p>
    <w:p w14:paraId="4BC58C4D" w14:textId="77777777" w:rsidR="00940AF2" w:rsidRPr="006943A2" w:rsidRDefault="00E72076" w:rsidP="00E72076">
      <w:pPr>
        <w:pStyle w:val="ListParagraph"/>
        <w:numPr>
          <w:ilvl w:val="0"/>
          <w:numId w:val="1"/>
        </w:numPr>
        <w:rPr>
          <w:rFonts w:cs="Calibri"/>
        </w:rPr>
      </w:pPr>
      <w:r w:rsidRPr="006943A2">
        <w:rPr>
          <w:rFonts w:cs="Calibri"/>
          <w:color w:val="000000" w:themeColor="text1"/>
        </w:rPr>
        <w:t>Health &amp; Counselling Centre</w:t>
      </w:r>
      <w:r w:rsidR="00370B66" w:rsidRPr="006943A2">
        <w:rPr>
          <w:rFonts w:cs="Calibri"/>
          <w:color w:val="000000" w:themeColor="text1"/>
        </w:rPr>
        <w:t>:</w:t>
      </w:r>
      <w:r w:rsidRPr="006943A2">
        <w:rPr>
          <w:rFonts w:cs="Calibri"/>
          <w:color w:val="000000" w:themeColor="text1"/>
        </w:rPr>
        <w:t xml:space="preserve"> </w:t>
      </w:r>
    </w:p>
    <w:p w14:paraId="521F5B4A" w14:textId="5459C7DC" w:rsidR="00A4565A" w:rsidRPr="006943A2" w:rsidRDefault="00A4565A" w:rsidP="00A4565A">
      <w:pPr>
        <w:pStyle w:val="ListParagraph"/>
        <w:ind w:firstLine="0"/>
        <w:rPr>
          <w:rFonts w:cs="Calibri"/>
        </w:rPr>
      </w:pPr>
      <w:hyperlink r:id="rId23" w:history="1">
        <w:r w:rsidRPr="006943A2">
          <w:rPr>
            <w:rFonts w:asciiTheme="minorHAnsi" w:hAnsiTheme="minorHAnsi"/>
            <w:color w:val="0000FF"/>
            <w:u w:val="single"/>
          </w:rPr>
          <w:t>Health and Counselling Centre | St. Francis Xavier University (stfx.ca)</w:t>
        </w:r>
      </w:hyperlink>
    </w:p>
    <w:p w14:paraId="04B2EF2B" w14:textId="77777777" w:rsidR="008B390C" w:rsidRPr="006943A2" w:rsidRDefault="008B390C" w:rsidP="008B390C">
      <w:pPr>
        <w:pStyle w:val="ListParagraph"/>
        <w:ind w:firstLine="0"/>
        <w:rPr>
          <w:rFonts w:cs="Calibri"/>
        </w:rPr>
      </w:pPr>
    </w:p>
    <w:p w14:paraId="5EC6027D" w14:textId="3150D2C7" w:rsidR="00940AF2" w:rsidRPr="006943A2" w:rsidRDefault="00E72076" w:rsidP="00E72076">
      <w:pPr>
        <w:pStyle w:val="ListParagraph"/>
        <w:numPr>
          <w:ilvl w:val="0"/>
          <w:numId w:val="1"/>
        </w:numPr>
        <w:rPr>
          <w:rFonts w:cs="Calibri"/>
        </w:rPr>
      </w:pPr>
      <w:r w:rsidRPr="006943A2">
        <w:rPr>
          <w:rFonts w:cs="Calibri"/>
          <w:color w:val="000000" w:themeColor="text1"/>
        </w:rPr>
        <w:t>Academic Advising</w:t>
      </w:r>
      <w:r w:rsidR="00370B66" w:rsidRPr="006943A2">
        <w:rPr>
          <w:rFonts w:cs="Calibri"/>
          <w:color w:val="000000" w:themeColor="text1"/>
        </w:rPr>
        <w:t>:</w:t>
      </w:r>
    </w:p>
    <w:p w14:paraId="43657CD4" w14:textId="4BB730BD" w:rsidR="008D38FF" w:rsidRPr="006943A2" w:rsidRDefault="008D38FF" w:rsidP="008D38FF">
      <w:pPr>
        <w:pStyle w:val="ListParagraph"/>
        <w:ind w:firstLine="0"/>
        <w:rPr>
          <w:rFonts w:cs="Calibri"/>
        </w:rPr>
      </w:pPr>
      <w:hyperlink r:id="rId24" w:history="1">
        <w:r w:rsidRPr="006943A2">
          <w:rPr>
            <w:rFonts w:asciiTheme="minorHAnsi" w:hAnsiTheme="minorHAnsi"/>
            <w:color w:val="0000FF"/>
            <w:u w:val="single"/>
          </w:rPr>
          <w:t>Academic Advising | St. Francis Xavier University (stfx.ca)</w:t>
        </w:r>
      </w:hyperlink>
    </w:p>
    <w:p w14:paraId="0F7B0C6C" w14:textId="77777777" w:rsidR="008D38FF" w:rsidRPr="006943A2" w:rsidRDefault="008D38FF" w:rsidP="008D38FF">
      <w:pPr>
        <w:pStyle w:val="ListParagraph"/>
        <w:ind w:firstLine="0"/>
        <w:rPr>
          <w:rFonts w:cs="Calibri"/>
        </w:rPr>
      </w:pPr>
    </w:p>
    <w:p w14:paraId="338DA4CA" w14:textId="72750CDA" w:rsidR="00940AF2" w:rsidRPr="006943A2" w:rsidRDefault="00803241" w:rsidP="00E72076">
      <w:pPr>
        <w:pStyle w:val="ListParagraph"/>
        <w:numPr>
          <w:ilvl w:val="0"/>
          <w:numId w:val="1"/>
        </w:numPr>
        <w:rPr>
          <w:rFonts w:cs="Calibri"/>
        </w:rPr>
      </w:pPr>
      <w:r w:rsidRPr="006943A2">
        <w:rPr>
          <w:rFonts w:cs="Calibri"/>
          <w:color w:val="000000" w:themeColor="text1"/>
        </w:rPr>
        <w:t xml:space="preserve">Academic </w:t>
      </w:r>
      <w:r w:rsidR="00940AF2" w:rsidRPr="006943A2">
        <w:rPr>
          <w:rFonts w:cs="Calibri"/>
          <w:color w:val="000000" w:themeColor="text1"/>
        </w:rPr>
        <w:t xml:space="preserve">Success Centre:  </w:t>
      </w:r>
    </w:p>
    <w:p w14:paraId="4A006776" w14:textId="44F3E23D" w:rsidR="00E72076" w:rsidRPr="006943A2" w:rsidRDefault="007341D2" w:rsidP="00940AF2">
      <w:pPr>
        <w:pStyle w:val="ListParagraph"/>
        <w:ind w:firstLine="0"/>
        <w:rPr>
          <w:rFonts w:cs="Calibri"/>
        </w:rPr>
      </w:pPr>
      <w:hyperlink r:id="rId25" w:history="1">
        <w:r w:rsidRPr="006943A2">
          <w:rPr>
            <w:rFonts w:asciiTheme="minorHAnsi" w:hAnsiTheme="minorHAnsi"/>
            <w:color w:val="0000FF"/>
            <w:u w:val="single"/>
          </w:rPr>
          <w:t>Academic Success Centre | St. Francis Xavier University (stfx.ca)</w:t>
        </w:r>
      </w:hyperlink>
    </w:p>
    <w:p w14:paraId="1448B124" w14:textId="77777777" w:rsidR="008B390C" w:rsidRPr="006943A2" w:rsidRDefault="008B390C" w:rsidP="008B390C">
      <w:pPr>
        <w:pStyle w:val="ListParagraph"/>
        <w:ind w:firstLine="0"/>
        <w:rPr>
          <w:rFonts w:cs="Calibri"/>
        </w:rPr>
      </w:pPr>
    </w:p>
    <w:p w14:paraId="2F368A7A" w14:textId="01437769" w:rsidR="00940AF2" w:rsidRPr="006943A2" w:rsidRDefault="00E72076" w:rsidP="00E72076">
      <w:pPr>
        <w:pStyle w:val="ListParagraph"/>
        <w:numPr>
          <w:ilvl w:val="0"/>
          <w:numId w:val="1"/>
        </w:numPr>
        <w:rPr>
          <w:rFonts w:cs="Calibri"/>
        </w:rPr>
      </w:pPr>
      <w:r w:rsidRPr="006943A2">
        <w:rPr>
          <w:rFonts w:cs="Calibri"/>
          <w:color w:val="000000" w:themeColor="text1"/>
        </w:rPr>
        <w:t>Student Career Centre</w:t>
      </w:r>
      <w:r w:rsidR="00940AF2" w:rsidRPr="006943A2">
        <w:rPr>
          <w:rFonts w:cs="Calibri"/>
          <w:color w:val="000000" w:themeColor="text1"/>
        </w:rPr>
        <w:t>:</w:t>
      </w:r>
    </w:p>
    <w:p w14:paraId="7D36EAD8" w14:textId="5256CB7A" w:rsidR="001F16D4" w:rsidRPr="006943A2" w:rsidRDefault="001F16D4" w:rsidP="00940AF2">
      <w:pPr>
        <w:pStyle w:val="ListParagraph"/>
        <w:ind w:firstLine="0"/>
        <w:rPr>
          <w:rFonts w:asciiTheme="minorHAnsi" w:hAnsiTheme="minorHAnsi"/>
          <w:color w:val="0000FF"/>
          <w:u w:val="single"/>
        </w:rPr>
      </w:pPr>
      <w:hyperlink r:id="rId26" w:history="1">
        <w:r w:rsidRPr="006943A2">
          <w:rPr>
            <w:rFonts w:asciiTheme="minorHAnsi" w:hAnsiTheme="minorHAnsi"/>
            <w:color w:val="0000FF"/>
            <w:u w:val="single"/>
          </w:rPr>
          <w:t>Student Career Centre | St. Francis Xavier University (stfx.ca)</w:t>
        </w:r>
      </w:hyperlink>
    </w:p>
    <w:p w14:paraId="4A68EEB4" w14:textId="77777777" w:rsidR="008B390C" w:rsidRPr="006943A2" w:rsidRDefault="008B390C" w:rsidP="008B390C">
      <w:pPr>
        <w:pStyle w:val="ListParagraph"/>
        <w:ind w:firstLine="0"/>
        <w:rPr>
          <w:rFonts w:cs="Calibri"/>
        </w:rPr>
      </w:pPr>
    </w:p>
    <w:p w14:paraId="3BFC41BD" w14:textId="43C07C2F" w:rsidR="00E72076" w:rsidRPr="006943A2" w:rsidRDefault="00940AF2" w:rsidP="00E72076">
      <w:pPr>
        <w:pStyle w:val="ListParagraph"/>
        <w:numPr>
          <w:ilvl w:val="0"/>
          <w:numId w:val="1"/>
        </w:numPr>
        <w:rPr>
          <w:rFonts w:cs="Calibri"/>
        </w:rPr>
      </w:pPr>
      <w:r w:rsidRPr="006943A2">
        <w:rPr>
          <w:rFonts w:cs="Calibri"/>
          <w:color w:val="000000" w:themeColor="text1"/>
        </w:rPr>
        <w:t>Office of Internationalization:</w:t>
      </w:r>
    </w:p>
    <w:p w14:paraId="09FBB386" w14:textId="636CD298" w:rsidR="008B390C" w:rsidRPr="006943A2" w:rsidRDefault="008B390C" w:rsidP="008B390C">
      <w:pPr>
        <w:pStyle w:val="ListParagraph"/>
        <w:ind w:firstLine="0"/>
        <w:rPr>
          <w:rFonts w:cs="Calibri"/>
        </w:rPr>
      </w:pPr>
      <w:hyperlink r:id="rId27" w:history="1">
        <w:r w:rsidRPr="006943A2">
          <w:rPr>
            <w:rFonts w:asciiTheme="minorHAnsi" w:hAnsiTheme="minorHAnsi"/>
            <w:color w:val="0000FF"/>
            <w:u w:val="single"/>
          </w:rPr>
          <w:t>Internationalization | St. Francis Xavier University (stfx.ca)</w:t>
        </w:r>
      </w:hyperlink>
    </w:p>
    <w:p w14:paraId="578DD2E4" w14:textId="77777777" w:rsidR="008B390C" w:rsidRPr="006943A2" w:rsidRDefault="008B390C" w:rsidP="008B390C">
      <w:pPr>
        <w:pStyle w:val="ListParagraph"/>
        <w:ind w:firstLine="0"/>
        <w:rPr>
          <w:rFonts w:cs="Calibri"/>
        </w:rPr>
      </w:pPr>
    </w:p>
    <w:p w14:paraId="22EA3464" w14:textId="369A4675" w:rsidR="00940AF2" w:rsidRPr="006943A2" w:rsidRDefault="00E72076" w:rsidP="00E72076">
      <w:pPr>
        <w:pStyle w:val="ListParagraph"/>
        <w:numPr>
          <w:ilvl w:val="0"/>
          <w:numId w:val="1"/>
        </w:numPr>
        <w:rPr>
          <w:rFonts w:cs="Calibri"/>
        </w:rPr>
      </w:pPr>
      <w:r w:rsidRPr="006943A2">
        <w:rPr>
          <w:rFonts w:cs="Calibri"/>
          <w:color w:val="000000" w:themeColor="text1"/>
        </w:rPr>
        <w:t>Financial Aid Office</w:t>
      </w:r>
      <w:r w:rsidR="00940AF2" w:rsidRPr="006943A2">
        <w:rPr>
          <w:rFonts w:cs="Calibri"/>
          <w:color w:val="000000" w:themeColor="text1"/>
        </w:rPr>
        <w:t>:</w:t>
      </w:r>
    </w:p>
    <w:p w14:paraId="14946758" w14:textId="0509B70E" w:rsidR="008B390C" w:rsidRPr="006943A2" w:rsidRDefault="008B390C" w:rsidP="008B390C">
      <w:pPr>
        <w:pStyle w:val="ListParagraph"/>
        <w:ind w:firstLine="0"/>
        <w:rPr>
          <w:rFonts w:cs="Calibri"/>
        </w:rPr>
      </w:pPr>
      <w:hyperlink r:id="rId28" w:history="1">
        <w:r w:rsidRPr="006943A2">
          <w:rPr>
            <w:rFonts w:asciiTheme="minorHAnsi" w:hAnsiTheme="minorHAnsi"/>
            <w:color w:val="0000FF"/>
            <w:u w:val="single"/>
          </w:rPr>
          <w:t>Financial Aid Office | St. Francis Xavier University (stfx.ca)</w:t>
        </w:r>
      </w:hyperlink>
    </w:p>
    <w:p w14:paraId="131610FA" w14:textId="77777777" w:rsidR="00E72076" w:rsidRPr="00E72076" w:rsidRDefault="00E72076" w:rsidP="00E72076">
      <w:pPr>
        <w:rPr>
          <w:rFonts w:asciiTheme="majorHAnsi" w:hAnsiTheme="majorHAnsi"/>
          <w:color w:val="44546A" w:themeColor="text2"/>
          <w:sz w:val="28"/>
          <w:szCs w:val="28"/>
        </w:rPr>
      </w:pPr>
    </w:p>
    <w:p w14:paraId="2D2CBCC5" w14:textId="554600B2" w:rsidR="00F3570F" w:rsidRPr="0061271C" w:rsidRDefault="00E72076" w:rsidP="00F3570F">
      <w:pPr>
        <w:rPr>
          <w:rFonts w:asciiTheme="majorHAnsi" w:hAnsiTheme="majorHAnsi"/>
          <w:b/>
          <w:color w:val="44546A" w:themeColor="text2"/>
          <w:sz w:val="28"/>
          <w:szCs w:val="28"/>
          <w:u w:val="single"/>
        </w:rPr>
      </w:pPr>
      <w:r w:rsidRPr="003D1B0D">
        <w:rPr>
          <w:rFonts w:asciiTheme="majorHAnsi" w:hAnsiTheme="majorHAnsi"/>
          <w:b/>
          <w:color w:val="44546A" w:themeColor="text2"/>
          <w:sz w:val="28"/>
          <w:szCs w:val="28"/>
          <w:u w:val="single"/>
        </w:rPr>
        <w:t>Health and Wellness</w:t>
      </w:r>
    </w:p>
    <w:p w14:paraId="2852A0EB" w14:textId="77777777" w:rsidR="00F3570F" w:rsidRPr="00F3570F" w:rsidRDefault="00F3570F" w:rsidP="0061271C">
      <w:pPr>
        <w:spacing w:after="120"/>
        <w:rPr>
          <w:rFonts w:eastAsia="Times New Roman"/>
          <w:color w:val="000000"/>
          <w:sz w:val="22"/>
          <w:szCs w:val="22"/>
        </w:rPr>
      </w:pPr>
      <w:r w:rsidRPr="00F3570F">
        <w:rPr>
          <w:rFonts w:eastAsia="Times New Roman"/>
          <w:color w:val="000000"/>
          <w:sz w:val="22"/>
          <w:szCs w:val="22"/>
        </w:rPr>
        <w:t>As part of a successful undergraduate experience at St. Francis Xavier University, we encourage you to make your health and wellness a priority. StFX provides several on-campus services to help you achieve optimum health and engage in healthy living while you study.</w:t>
      </w:r>
    </w:p>
    <w:p w14:paraId="2D091D38" w14:textId="286D2BE9" w:rsidR="0061271C" w:rsidRPr="00F3570F" w:rsidRDefault="00F3570F" w:rsidP="0061271C">
      <w:pPr>
        <w:spacing w:after="120"/>
        <w:rPr>
          <w:rFonts w:eastAsia="Times New Roman"/>
          <w:color w:val="000000"/>
          <w:sz w:val="22"/>
          <w:szCs w:val="22"/>
        </w:rPr>
      </w:pPr>
      <w:r w:rsidRPr="00F3570F">
        <w:rPr>
          <w:rFonts w:eastAsia="Times New Roman"/>
          <w:color w:val="000000"/>
          <w:sz w:val="22"/>
          <w:szCs w:val="22"/>
        </w:rPr>
        <w:t xml:space="preserve">Recreation your way! Activate your membership </w:t>
      </w:r>
      <w:r w:rsidR="00001C96">
        <w:rPr>
          <w:rFonts w:eastAsia="Times New Roman"/>
          <w:color w:val="000000"/>
          <w:sz w:val="22"/>
          <w:szCs w:val="22"/>
        </w:rPr>
        <w:t>to</w:t>
      </w:r>
      <w:r w:rsidRPr="00F3570F">
        <w:rPr>
          <w:rFonts w:eastAsia="Times New Roman"/>
          <w:color w:val="000000"/>
          <w:sz w:val="22"/>
          <w:szCs w:val="22"/>
        </w:rPr>
        <w:t xml:space="preserve"> access the fitness centre, pool, gymnasiums, tracks and drop-in activities such as group fitness classes, swimming, skating, and open gym.  You can join our vibrant intramural sports program or get involved in one of the student-led competitive club teams that compete against other universities.</w:t>
      </w:r>
    </w:p>
    <w:p w14:paraId="40D892AF" w14:textId="5C5260BD" w:rsidR="0061271C" w:rsidRDefault="00F3570F" w:rsidP="0061271C">
      <w:pPr>
        <w:spacing w:after="120"/>
        <w:rPr>
          <w:rFonts w:eastAsia="Times New Roman"/>
          <w:color w:val="000000"/>
          <w:sz w:val="22"/>
          <w:szCs w:val="22"/>
        </w:rPr>
      </w:pPr>
      <w:r w:rsidRPr="00F3570F">
        <w:rPr>
          <w:rFonts w:eastAsia="Times New Roman"/>
          <w:color w:val="000000"/>
          <w:sz w:val="22"/>
          <w:szCs w:val="22"/>
        </w:rPr>
        <w:t xml:space="preserve">Please visit the Recreation and Active </w:t>
      </w:r>
      <w:r w:rsidR="007C39F4" w:rsidRPr="00F3570F">
        <w:rPr>
          <w:rFonts w:eastAsia="Times New Roman"/>
          <w:color w:val="000000"/>
          <w:sz w:val="22"/>
          <w:szCs w:val="22"/>
        </w:rPr>
        <w:t>Living</w:t>
      </w:r>
      <w:r w:rsidRPr="00F3570F">
        <w:rPr>
          <w:rFonts w:eastAsia="Times New Roman"/>
          <w:color w:val="000000"/>
          <w:sz w:val="22"/>
          <w:szCs w:val="22"/>
        </w:rPr>
        <w:t xml:space="preserve"> website at </w:t>
      </w:r>
      <w:hyperlink r:id="rId29" w:history="1">
        <w:hyperlink r:id="rId30" w:history="1">
          <w:r w:rsidRPr="003419CE">
            <w:rPr>
              <w:rStyle w:val="Hyperlink"/>
              <w:rFonts w:eastAsia="Times New Roman"/>
              <w:sz w:val="22"/>
              <w:szCs w:val="22"/>
            </w:rPr>
            <w:t>Campus Recreation | St. Francis Xavier University (stfx.ca)</w:t>
          </w:r>
        </w:hyperlink>
      </w:hyperlink>
      <w:r w:rsidRPr="00F3570F">
        <w:rPr>
          <w:rFonts w:eastAsia="Times New Roman"/>
          <w:color w:val="000000"/>
          <w:sz w:val="22"/>
          <w:szCs w:val="22"/>
        </w:rPr>
        <w:t xml:space="preserve"> for more </w:t>
      </w:r>
      <w:r w:rsidR="00001C96" w:rsidRPr="00F3570F">
        <w:rPr>
          <w:rFonts w:eastAsia="Times New Roman"/>
          <w:color w:val="000000"/>
          <w:sz w:val="22"/>
          <w:szCs w:val="22"/>
        </w:rPr>
        <w:t>ways</w:t>
      </w:r>
      <w:r w:rsidRPr="00F3570F">
        <w:rPr>
          <w:rFonts w:eastAsia="Times New Roman"/>
          <w:color w:val="000000"/>
          <w:sz w:val="22"/>
          <w:szCs w:val="22"/>
        </w:rPr>
        <w:t xml:space="preserve"> to be active!</w:t>
      </w:r>
      <w:r w:rsidRPr="00F3570F">
        <w:rPr>
          <w:rFonts w:eastAsia="Times New Roman"/>
          <w:color w:val="000000"/>
          <w:sz w:val="22"/>
          <w:szCs w:val="22"/>
        </w:rPr>
        <w:t xml:space="preserve"> </w:t>
      </w:r>
    </w:p>
    <w:p w14:paraId="7902AE4E" w14:textId="0861C958" w:rsidR="00E72076" w:rsidRPr="006943A2" w:rsidRDefault="00E72076" w:rsidP="0061271C">
      <w:pPr>
        <w:spacing w:after="120"/>
        <w:rPr>
          <w:rFonts w:ascii="Calibri" w:hAnsi="Calibri" w:cs="Calibri"/>
          <w:sz w:val="22"/>
          <w:szCs w:val="22"/>
        </w:rPr>
      </w:pPr>
      <w:r w:rsidRPr="006943A2">
        <w:rPr>
          <w:rFonts w:ascii="Calibri" w:hAnsi="Calibri" w:cs="Calibri"/>
          <w:sz w:val="22"/>
          <w:szCs w:val="22"/>
        </w:rPr>
        <w:t>Numerous cultural events are offered throughout the year. Please check out the Department of Music web page</w:t>
      </w:r>
      <w:r w:rsidR="00E82BDF" w:rsidRPr="006943A2">
        <w:rPr>
          <w:rFonts w:ascii="Calibri" w:hAnsi="Calibri" w:cs="Calibri"/>
          <w:sz w:val="22"/>
          <w:szCs w:val="22"/>
        </w:rPr>
        <w:t xml:space="preserve"> </w:t>
      </w:r>
      <w:hyperlink r:id="rId31" w:history="1">
        <w:r w:rsidR="00E82BDF" w:rsidRPr="006943A2">
          <w:rPr>
            <w:color w:val="0000FF"/>
            <w:sz w:val="22"/>
            <w:szCs w:val="22"/>
            <w:u w:val="single"/>
          </w:rPr>
          <w:t>Music | St. Francis Xavier University (stfx.ca)</w:t>
        </w:r>
      </w:hyperlink>
      <w:r w:rsidR="00E82BDF" w:rsidRPr="006943A2">
        <w:rPr>
          <w:rFonts w:ascii="Calibri" w:hAnsi="Calibri" w:cs="Calibri"/>
          <w:sz w:val="22"/>
          <w:szCs w:val="22"/>
        </w:rPr>
        <w:t xml:space="preserve">, </w:t>
      </w:r>
      <w:r w:rsidR="0026448A" w:rsidRPr="006943A2">
        <w:rPr>
          <w:rFonts w:ascii="Calibri" w:hAnsi="Calibri" w:cs="Calibri"/>
          <w:sz w:val="22"/>
          <w:szCs w:val="22"/>
        </w:rPr>
        <w:t xml:space="preserve">the </w:t>
      </w:r>
      <w:hyperlink r:id="rId32" w:history="1">
        <w:r w:rsidR="0026448A" w:rsidRPr="000D553E">
          <w:rPr>
            <w:rStyle w:val="Hyperlink"/>
            <w:rFonts w:ascii="Calibri" w:hAnsi="Calibri" w:cs="Calibri"/>
            <w:sz w:val="22"/>
            <w:szCs w:val="22"/>
          </w:rPr>
          <w:t>StFX Art Gallery</w:t>
        </w:r>
      </w:hyperlink>
      <w:r w:rsidR="0026448A" w:rsidRPr="006943A2">
        <w:rPr>
          <w:rFonts w:ascii="Calibri" w:hAnsi="Calibri" w:cs="Calibri"/>
          <w:sz w:val="22"/>
          <w:szCs w:val="22"/>
        </w:rPr>
        <w:t xml:space="preserve"> or Theatre Antigonish </w:t>
      </w:r>
      <w:r w:rsidR="00764E7E" w:rsidRPr="006943A2">
        <w:rPr>
          <w:rFonts w:ascii="Calibri" w:hAnsi="Calibri" w:cs="Calibri"/>
          <w:sz w:val="22"/>
          <w:szCs w:val="22"/>
        </w:rPr>
        <w:t>(</w:t>
      </w:r>
      <w:hyperlink r:id="rId33" w:history="1">
        <w:r w:rsidR="00764E7E" w:rsidRPr="006943A2">
          <w:rPr>
            <w:color w:val="0000FF"/>
            <w:sz w:val="22"/>
            <w:szCs w:val="22"/>
            <w:u w:val="single"/>
          </w:rPr>
          <w:t>Theatre Antigonish | St. Francis Xavier University) (stfx.ca)</w:t>
        </w:r>
      </w:hyperlink>
      <w:r w:rsidR="00764E7E" w:rsidRPr="006943A2">
        <w:rPr>
          <w:rFonts w:ascii="Calibri" w:hAnsi="Calibri" w:cs="Calibri"/>
          <w:sz w:val="22"/>
          <w:szCs w:val="22"/>
        </w:rPr>
        <w:t xml:space="preserve"> </w:t>
      </w:r>
      <w:r w:rsidRPr="006943A2">
        <w:rPr>
          <w:rFonts w:ascii="Calibri" w:hAnsi="Calibri" w:cs="Calibri"/>
          <w:sz w:val="22"/>
          <w:szCs w:val="22"/>
        </w:rPr>
        <w:t>for various events.</w:t>
      </w:r>
    </w:p>
    <w:p w14:paraId="5F3D5266" w14:textId="77777777" w:rsidR="00691BC3" w:rsidRDefault="00691BC3" w:rsidP="00691BC3">
      <w:pPr>
        <w:rPr>
          <w:rFonts w:ascii="Calibri" w:hAnsi="Calibri" w:cs="Calibri"/>
          <w:sz w:val="22"/>
          <w:szCs w:val="22"/>
        </w:rPr>
      </w:pPr>
      <w:r>
        <w:rPr>
          <w:rFonts w:ascii="Calibri" w:hAnsi="Calibri" w:cs="Calibri"/>
          <w:sz w:val="22"/>
          <w:szCs w:val="22"/>
        </w:rPr>
        <w:t xml:space="preserve">Further information regarding health and wellness-related services available to students may be found at </w:t>
      </w:r>
      <w:hyperlink r:id="rId34" w:history="1">
        <w:r>
          <w:rPr>
            <w:rStyle w:val="Hyperlink"/>
            <w:rFonts w:ascii="Calibri" w:hAnsi="Calibri" w:cs="Calibri"/>
            <w:sz w:val="22"/>
            <w:szCs w:val="22"/>
          </w:rPr>
          <w:t>Flourish@X Health and Wellness Programs | St. Francis Xavier University</w:t>
        </w:r>
      </w:hyperlink>
      <w:r>
        <w:rPr>
          <w:rFonts w:ascii="Calibri" w:hAnsi="Calibri" w:cs="Calibri"/>
          <w:sz w:val="22"/>
          <w:szCs w:val="22"/>
        </w:rPr>
        <w:t xml:space="preserve">.  To access mental health, medical health or sexual health supports, please see How to Access Our Services at the </w:t>
      </w:r>
      <w:hyperlink r:id="rId35" w:history="1">
        <w:r>
          <w:rPr>
            <w:rStyle w:val="Hyperlink"/>
            <w:rFonts w:ascii="Calibri" w:hAnsi="Calibri" w:cs="Calibri"/>
            <w:sz w:val="22"/>
            <w:szCs w:val="22"/>
          </w:rPr>
          <w:t>Health and Counselling Centre | St. Francis Xavier University</w:t>
        </w:r>
      </w:hyperlink>
      <w:r>
        <w:rPr>
          <w:rFonts w:ascii="Calibri" w:hAnsi="Calibri" w:cs="Calibri"/>
          <w:sz w:val="22"/>
          <w:szCs w:val="22"/>
        </w:rPr>
        <w:t>.</w:t>
      </w:r>
    </w:p>
    <w:p w14:paraId="3D34C00A" w14:textId="77777777" w:rsidR="005B272D" w:rsidRPr="005B272D" w:rsidRDefault="005B272D">
      <w:pPr>
        <w:rPr>
          <w:rFonts w:asciiTheme="majorHAnsi" w:hAnsiTheme="majorHAnsi" w:cstheme="majorHAnsi"/>
        </w:rPr>
      </w:pPr>
    </w:p>
    <w:p w14:paraId="773172F4" w14:textId="77777777" w:rsidR="005B272D" w:rsidRPr="005B272D" w:rsidRDefault="005B272D" w:rsidP="005B272D">
      <w:pPr>
        <w:rPr>
          <w:rFonts w:asciiTheme="majorHAnsi" w:hAnsiTheme="majorHAnsi" w:cstheme="majorHAnsi"/>
          <w:b/>
          <w:bCs/>
          <w:color w:val="1F3864" w:themeColor="accent1" w:themeShade="80"/>
          <w:sz w:val="28"/>
          <w:szCs w:val="28"/>
          <w:u w:val="single"/>
        </w:rPr>
      </w:pPr>
      <w:r w:rsidRPr="005B272D">
        <w:rPr>
          <w:rFonts w:asciiTheme="majorHAnsi" w:hAnsiTheme="majorHAnsi" w:cstheme="majorHAnsi"/>
          <w:b/>
          <w:bCs/>
          <w:color w:val="1F3864" w:themeColor="accent1" w:themeShade="80"/>
          <w:sz w:val="28"/>
          <w:szCs w:val="28"/>
          <w:u w:val="single"/>
        </w:rPr>
        <w:t>Sexual Violence Prevention &amp; Response</w:t>
      </w:r>
    </w:p>
    <w:p w14:paraId="3F13E0B1" w14:textId="77777777" w:rsidR="005B272D" w:rsidRPr="006943A2" w:rsidRDefault="005B272D" w:rsidP="005B272D">
      <w:pPr>
        <w:rPr>
          <w:rFonts w:ascii="Calibri" w:hAnsi="Calibri" w:cs="Calibri"/>
          <w:sz w:val="22"/>
          <w:szCs w:val="22"/>
        </w:rPr>
      </w:pPr>
      <w:r w:rsidRPr="006943A2">
        <w:rPr>
          <w:rFonts w:ascii="Calibri" w:hAnsi="Calibri" w:cs="Calibri"/>
          <w:sz w:val="22"/>
          <w:szCs w:val="22"/>
        </w:rPr>
        <w:t>StFX’s Sexual Violence Prevention &amp; Response Advocate (SVPRA), Heather Blackburn (</w:t>
      </w:r>
      <w:hyperlink r:id="rId36" w:tgtFrame="_blank" w:tooltip="mailto:hblackbu@stfx.ca" w:history="1">
        <w:r w:rsidRPr="006943A2">
          <w:rPr>
            <w:rStyle w:val="Hyperlink"/>
            <w:rFonts w:ascii="Calibri" w:hAnsi="Calibri" w:cs="Calibri"/>
            <w:sz w:val="22"/>
            <w:szCs w:val="22"/>
          </w:rPr>
          <w:t>hblackbu@stfx.ca</w:t>
        </w:r>
      </w:hyperlink>
      <w:r w:rsidRPr="006943A2">
        <w:rPr>
          <w:rFonts w:ascii="Calibri" w:hAnsi="Calibri" w:cs="Calibri"/>
          <w:sz w:val="22"/>
          <w:szCs w:val="22"/>
        </w:rPr>
        <w:t xml:space="preserve">), is available to anyone in the StFX community who has been impacted by sexual violence. The SVPRA can provide confidential support, listen to disclosures, discuss reporting options, and help connect you with appropriate services and supports based on your needs. Students impacted by sexual violence may also request academic accommodations or other supports. Faculty are committed to working with students to support reasonable accommodations and will work with the appropriate campus resources to help facilitate these arrangements. For more information about sexual violence prevention, response, and available services and supports, please visit </w:t>
      </w:r>
      <w:hyperlink r:id="rId37" w:tgtFrame="_blank" w:tooltip="https://www.stfx.ca/student-services/support-services/visible-at-x" w:history="1">
        <w:r w:rsidRPr="006943A2">
          <w:rPr>
            <w:rStyle w:val="Hyperlink"/>
            <w:rFonts w:ascii="Calibri" w:hAnsi="Calibri" w:cs="Calibri"/>
            <w:sz w:val="22"/>
            <w:szCs w:val="22"/>
          </w:rPr>
          <w:t>Visible@X – Sexual Violence Prevention &amp; Response</w:t>
        </w:r>
      </w:hyperlink>
    </w:p>
    <w:p w14:paraId="4F4BD8EC" w14:textId="77777777" w:rsidR="005B272D" w:rsidRPr="0061621F" w:rsidRDefault="005B272D">
      <w:pPr>
        <w:rPr>
          <w:rFonts w:ascii="Calibri" w:hAnsi="Calibri" w:cs="Calibri"/>
        </w:rPr>
      </w:pPr>
    </w:p>
    <w:sectPr w:rsidR="005B272D" w:rsidRPr="0061621F" w:rsidSect="00370B66">
      <w:footerReference w:type="default" r:id="rId38"/>
      <w:pgSz w:w="12240" w:h="15840"/>
      <w:pgMar w:top="720" w:right="1440" w:bottom="72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B62C5" w14:textId="77777777" w:rsidR="00263772" w:rsidRDefault="00263772" w:rsidP="00047E04">
      <w:r>
        <w:separator/>
      </w:r>
    </w:p>
  </w:endnote>
  <w:endnote w:type="continuationSeparator" w:id="0">
    <w:p w14:paraId="0D01F856" w14:textId="77777777" w:rsidR="00263772" w:rsidRDefault="00263772" w:rsidP="00047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CE491" w14:textId="1A9AC605" w:rsidR="00047E04" w:rsidRDefault="00047E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DBC5C" w14:textId="77777777" w:rsidR="00263772" w:rsidRDefault="00263772" w:rsidP="00047E04">
      <w:r>
        <w:separator/>
      </w:r>
    </w:p>
  </w:footnote>
  <w:footnote w:type="continuationSeparator" w:id="0">
    <w:p w14:paraId="04E602FD" w14:textId="77777777" w:rsidR="00263772" w:rsidRDefault="00263772" w:rsidP="00047E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77EEFF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27120716"/>
    <w:multiLevelType w:val="hybridMultilevel"/>
    <w:tmpl w:val="D3B43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FF2C76"/>
    <w:multiLevelType w:val="multilevel"/>
    <w:tmpl w:val="12E65A7A"/>
    <w:lvl w:ilvl="0">
      <w:start w:val="1"/>
      <w:numFmt w:val="bullet"/>
      <w:pStyle w:val="ListBullet"/>
      <w:suff w:val="space"/>
      <w:lvlText w:val=""/>
      <w:lvlJc w:val="left"/>
      <w:pPr>
        <w:ind w:left="360" w:hanging="360"/>
      </w:pPr>
      <w:rPr>
        <w:rFonts w:ascii="Wingdings" w:hAnsi="Wingdings"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16cid:durableId="1462185850">
    <w:abstractNumId w:val="1"/>
  </w:num>
  <w:num w:numId="2" w16cid:durableId="892234663">
    <w:abstractNumId w:val="2"/>
  </w:num>
  <w:num w:numId="3" w16cid:durableId="588972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076"/>
    <w:rsid w:val="00001C96"/>
    <w:rsid w:val="00007707"/>
    <w:rsid w:val="00027900"/>
    <w:rsid w:val="00030E15"/>
    <w:rsid w:val="00047E04"/>
    <w:rsid w:val="00053F52"/>
    <w:rsid w:val="000724AE"/>
    <w:rsid w:val="00077FF7"/>
    <w:rsid w:val="00086D0B"/>
    <w:rsid w:val="000A1588"/>
    <w:rsid w:val="000A1A43"/>
    <w:rsid w:val="000A34F6"/>
    <w:rsid w:val="000B3566"/>
    <w:rsid w:val="000C748D"/>
    <w:rsid w:val="000D553E"/>
    <w:rsid w:val="00103730"/>
    <w:rsid w:val="00116AD4"/>
    <w:rsid w:val="00135D2A"/>
    <w:rsid w:val="001561DF"/>
    <w:rsid w:val="0016597A"/>
    <w:rsid w:val="00183544"/>
    <w:rsid w:val="001A3D21"/>
    <w:rsid w:val="001C2FE0"/>
    <w:rsid w:val="001D229C"/>
    <w:rsid w:val="001F16D4"/>
    <w:rsid w:val="00212F2A"/>
    <w:rsid w:val="00224347"/>
    <w:rsid w:val="002313FC"/>
    <w:rsid w:val="0023533D"/>
    <w:rsid w:val="0024257E"/>
    <w:rsid w:val="002526F9"/>
    <w:rsid w:val="00254F32"/>
    <w:rsid w:val="00263772"/>
    <w:rsid w:val="0026448A"/>
    <w:rsid w:val="00280A59"/>
    <w:rsid w:val="002B1F6A"/>
    <w:rsid w:val="002F28E2"/>
    <w:rsid w:val="00304A0E"/>
    <w:rsid w:val="00305C13"/>
    <w:rsid w:val="00307119"/>
    <w:rsid w:val="003419CE"/>
    <w:rsid w:val="0034408F"/>
    <w:rsid w:val="00345BC7"/>
    <w:rsid w:val="00365918"/>
    <w:rsid w:val="00370B66"/>
    <w:rsid w:val="00374C71"/>
    <w:rsid w:val="00376731"/>
    <w:rsid w:val="003852E1"/>
    <w:rsid w:val="00392FA6"/>
    <w:rsid w:val="003C2609"/>
    <w:rsid w:val="003D1B0D"/>
    <w:rsid w:val="003D2D05"/>
    <w:rsid w:val="00420BE3"/>
    <w:rsid w:val="004317C6"/>
    <w:rsid w:val="004354C6"/>
    <w:rsid w:val="00435C98"/>
    <w:rsid w:val="00441DC5"/>
    <w:rsid w:val="00467505"/>
    <w:rsid w:val="004B3116"/>
    <w:rsid w:val="004D3640"/>
    <w:rsid w:val="004D4843"/>
    <w:rsid w:val="004E6C75"/>
    <w:rsid w:val="00506DCD"/>
    <w:rsid w:val="00584512"/>
    <w:rsid w:val="00591029"/>
    <w:rsid w:val="005A3D82"/>
    <w:rsid w:val="005B272D"/>
    <w:rsid w:val="005B735C"/>
    <w:rsid w:val="0061271C"/>
    <w:rsid w:val="0061621F"/>
    <w:rsid w:val="00622BBB"/>
    <w:rsid w:val="0062757E"/>
    <w:rsid w:val="00670AA1"/>
    <w:rsid w:val="00691BC3"/>
    <w:rsid w:val="00694290"/>
    <w:rsid w:val="006943A2"/>
    <w:rsid w:val="006E6733"/>
    <w:rsid w:val="00705CCF"/>
    <w:rsid w:val="0070679D"/>
    <w:rsid w:val="007341D2"/>
    <w:rsid w:val="007478B8"/>
    <w:rsid w:val="00756C46"/>
    <w:rsid w:val="00760D85"/>
    <w:rsid w:val="00764E7E"/>
    <w:rsid w:val="00797DE3"/>
    <w:rsid w:val="007B0A85"/>
    <w:rsid w:val="007C10E4"/>
    <w:rsid w:val="007C1711"/>
    <w:rsid w:val="007C39F4"/>
    <w:rsid w:val="007E0A10"/>
    <w:rsid w:val="00803241"/>
    <w:rsid w:val="0086288A"/>
    <w:rsid w:val="0088158D"/>
    <w:rsid w:val="008B390C"/>
    <w:rsid w:val="008B5B9E"/>
    <w:rsid w:val="008D38FF"/>
    <w:rsid w:val="00902962"/>
    <w:rsid w:val="00933AD3"/>
    <w:rsid w:val="00940AF2"/>
    <w:rsid w:val="00960A34"/>
    <w:rsid w:val="009667BD"/>
    <w:rsid w:val="009948D8"/>
    <w:rsid w:val="009D0CCC"/>
    <w:rsid w:val="009F7FA8"/>
    <w:rsid w:val="00A17DBF"/>
    <w:rsid w:val="00A4565A"/>
    <w:rsid w:val="00A9270A"/>
    <w:rsid w:val="00A95526"/>
    <w:rsid w:val="00AD41B1"/>
    <w:rsid w:val="00AE4A52"/>
    <w:rsid w:val="00AE5DD3"/>
    <w:rsid w:val="00AF1A85"/>
    <w:rsid w:val="00B07F5B"/>
    <w:rsid w:val="00B144C6"/>
    <w:rsid w:val="00B271C3"/>
    <w:rsid w:val="00B6685B"/>
    <w:rsid w:val="00BC3E84"/>
    <w:rsid w:val="00C01425"/>
    <w:rsid w:val="00C0304F"/>
    <w:rsid w:val="00C03F9A"/>
    <w:rsid w:val="00C264CE"/>
    <w:rsid w:val="00C33FEE"/>
    <w:rsid w:val="00C63ABD"/>
    <w:rsid w:val="00C651D2"/>
    <w:rsid w:val="00C74421"/>
    <w:rsid w:val="00C87309"/>
    <w:rsid w:val="00CB46EA"/>
    <w:rsid w:val="00D23019"/>
    <w:rsid w:val="00D2416A"/>
    <w:rsid w:val="00D41065"/>
    <w:rsid w:val="00D450D9"/>
    <w:rsid w:val="00D4753E"/>
    <w:rsid w:val="00D74F2B"/>
    <w:rsid w:val="00DA1866"/>
    <w:rsid w:val="00DE01F8"/>
    <w:rsid w:val="00DE7A71"/>
    <w:rsid w:val="00E025A3"/>
    <w:rsid w:val="00E070CF"/>
    <w:rsid w:val="00E72076"/>
    <w:rsid w:val="00E82BDF"/>
    <w:rsid w:val="00EE1A66"/>
    <w:rsid w:val="00F01FEC"/>
    <w:rsid w:val="00F0426F"/>
    <w:rsid w:val="00F1658D"/>
    <w:rsid w:val="00F3570F"/>
    <w:rsid w:val="00F760CA"/>
    <w:rsid w:val="00F96188"/>
    <w:rsid w:val="00FB239F"/>
    <w:rsid w:val="00FB2BE9"/>
    <w:rsid w:val="00FD1524"/>
    <w:rsid w:val="00FD6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031C6"/>
  <w14:defaultImageDpi w14:val="32767"/>
  <w15:chartTrackingRefBased/>
  <w15:docId w15:val="{97D1471F-1F4A-8D42-9DBA-1CFCC904E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2076"/>
    <w:pPr>
      <w:keepNext/>
      <w:keepLines/>
      <w:spacing w:before="360"/>
      <w:outlineLvl w:val="0"/>
    </w:pPr>
    <w:rPr>
      <w:rFonts w:asciiTheme="majorHAnsi" w:eastAsiaTheme="majorEastAsia" w:hAnsiTheme="majorHAnsi" w:cstheme="majorBidi"/>
      <w:bCs/>
      <w:color w:val="44546A" w:themeColor="text2"/>
      <w:spacing w:val="20"/>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2076"/>
    <w:rPr>
      <w:rFonts w:asciiTheme="majorHAnsi" w:eastAsiaTheme="majorEastAsia" w:hAnsiTheme="majorHAnsi" w:cstheme="majorBidi"/>
      <w:bCs/>
      <w:color w:val="44546A" w:themeColor="text2"/>
      <w:spacing w:val="20"/>
      <w:sz w:val="32"/>
      <w:szCs w:val="28"/>
    </w:rPr>
  </w:style>
  <w:style w:type="character" w:styleId="Hyperlink">
    <w:name w:val="Hyperlink"/>
    <w:basedOn w:val="DefaultParagraphFont"/>
    <w:uiPriority w:val="99"/>
    <w:unhideWhenUsed/>
    <w:rsid w:val="00E72076"/>
    <w:rPr>
      <w:color w:val="0563C1" w:themeColor="hyperlink"/>
      <w:u w:val="single"/>
    </w:rPr>
  </w:style>
  <w:style w:type="paragraph" w:styleId="ListParagraph">
    <w:name w:val="List Paragraph"/>
    <w:basedOn w:val="Normal"/>
    <w:uiPriority w:val="34"/>
    <w:qFormat/>
    <w:rsid w:val="00E72076"/>
    <w:pPr>
      <w:spacing w:after="180"/>
      <w:ind w:left="720" w:hanging="288"/>
      <w:contextualSpacing/>
    </w:pPr>
    <w:rPr>
      <w:rFonts w:ascii="Calibri" w:hAnsi="Calibri"/>
      <w:color w:val="44546A" w:themeColor="text2"/>
      <w:sz w:val="22"/>
      <w:szCs w:val="22"/>
    </w:rPr>
  </w:style>
  <w:style w:type="paragraph" w:customStyle="1" w:styleId="Default">
    <w:name w:val="Default"/>
    <w:rsid w:val="00E72076"/>
    <w:pPr>
      <w:widowControl w:val="0"/>
      <w:autoSpaceDE w:val="0"/>
      <w:autoSpaceDN w:val="0"/>
      <w:adjustRightInd w:val="0"/>
    </w:pPr>
    <w:rPr>
      <w:rFonts w:ascii="Times New Roman" w:eastAsia="Times New Roman" w:hAnsi="Times New Roman" w:cs="Times New Roman"/>
      <w:color w:val="000000"/>
    </w:rPr>
  </w:style>
  <w:style w:type="character" w:customStyle="1" w:styleId="UnresolvedMention1">
    <w:name w:val="Unresolved Mention1"/>
    <w:basedOn w:val="DefaultParagraphFont"/>
    <w:uiPriority w:val="99"/>
    <w:rsid w:val="00E72076"/>
    <w:rPr>
      <w:color w:val="605E5C"/>
      <w:shd w:val="clear" w:color="auto" w:fill="E1DFDD"/>
    </w:rPr>
  </w:style>
  <w:style w:type="character" w:styleId="FollowedHyperlink">
    <w:name w:val="FollowedHyperlink"/>
    <w:basedOn w:val="DefaultParagraphFont"/>
    <w:uiPriority w:val="99"/>
    <w:semiHidden/>
    <w:unhideWhenUsed/>
    <w:rsid w:val="00E72076"/>
    <w:rPr>
      <w:color w:val="954F72" w:themeColor="followedHyperlink"/>
      <w:u w:val="single"/>
    </w:rPr>
  </w:style>
  <w:style w:type="paragraph" w:styleId="ListBullet">
    <w:name w:val="List Bullet"/>
    <w:basedOn w:val="Normal"/>
    <w:uiPriority w:val="12"/>
    <w:unhideWhenUsed/>
    <w:qFormat/>
    <w:rsid w:val="009667BD"/>
    <w:pPr>
      <w:numPr>
        <w:numId w:val="2"/>
      </w:numPr>
      <w:spacing w:after="140" w:line="274" w:lineRule="auto"/>
    </w:pPr>
    <w:rPr>
      <w:rFonts w:ascii="Calibri" w:hAnsi="Calibri"/>
      <w:sz w:val="22"/>
      <w:szCs w:val="22"/>
      <w:lang w:eastAsia="ja-JP"/>
    </w:rPr>
  </w:style>
  <w:style w:type="character" w:styleId="Emphasis">
    <w:name w:val="Emphasis"/>
    <w:basedOn w:val="DefaultParagraphFont"/>
    <w:uiPriority w:val="20"/>
    <w:qFormat/>
    <w:rsid w:val="009667BD"/>
    <w:rPr>
      <w:b/>
      <w:i/>
      <w:iCs/>
    </w:rPr>
  </w:style>
  <w:style w:type="paragraph" w:styleId="BodyText">
    <w:name w:val="Body Text"/>
    <w:basedOn w:val="Normal"/>
    <w:link w:val="BodyTextChar"/>
    <w:uiPriority w:val="99"/>
    <w:unhideWhenUsed/>
    <w:rsid w:val="009667BD"/>
    <w:pPr>
      <w:spacing w:after="120" w:line="274" w:lineRule="auto"/>
    </w:pPr>
    <w:rPr>
      <w:rFonts w:ascii="Calibri" w:hAnsi="Calibri"/>
      <w:sz w:val="22"/>
      <w:szCs w:val="22"/>
    </w:rPr>
  </w:style>
  <w:style w:type="character" w:customStyle="1" w:styleId="BodyTextChar">
    <w:name w:val="Body Text Char"/>
    <w:basedOn w:val="DefaultParagraphFont"/>
    <w:link w:val="BodyText"/>
    <w:uiPriority w:val="99"/>
    <w:rsid w:val="009667BD"/>
    <w:rPr>
      <w:rFonts w:ascii="Calibri" w:hAnsi="Calibri"/>
      <w:sz w:val="22"/>
      <w:szCs w:val="22"/>
    </w:rPr>
  </w:style>
  <w:style w:type="paragraph" w:styleId="ListBullet2">
    <w:name w:val="List Bullet 2"/>
    <w:basedOn w:val="Normal"/>
    <w:uiPriority w:val="99"/>
    <w:semiHidden/>
    <w:unhideWhenUsed/>
    <w:rsid w:val="009667BD"/>
    <w:pPr>
      <w:numPr>
        <w:numId w:val="3"/>
      </w:numPr>
      <w:spacing w:after="180" w:line="274" w:lineRule="auto"/>
      <w:contextualSpacing/>
    </w:pPr>
    <w:rPr>
      <w:rFonts w:ascii="Calibri" w:hAnsi="Calibri"/>
      <w:sz w:val="22"/>
      <w:szCs w:val="22"/>
    </w:rPr>
  </w:style>
  <w:style w:type="table" w:customStyle="1" w:styleId="SyllabusTable">
    <w:name w:val="Syllabus Table"/>
    <w:basedOn w:val="TableNormal"/>
    <w:uiPriority w:val="99"/>
    <w:rsid w:val="009667BD"/>
    <w:pPr>
      <w:spacing w:before="60" w:after="60" w:line="276" w:lineRule="auto"/>
    </w:pPr>
    <w:rPr>
      <w:sz w:val="22"/>
      <w:szCs w:val="22"/>
      <w:lang w:eastAsia="ja-JP"/>
    </w:rPr>
    <w:tblPr>
      <w:tblInd w:w="-115" w:type="dxa"/>
      <w:tblBorders>
        <w:top w:val="single" w:sz="4" w:space="0" w:color="7F7F7F" w:themeColor="text1" w:themeTint="80"/>
        <w:bottom w:val="single" w:sz="4" w:space="0" w:color="7F7F7F" w:themeColor="text1" w:themeTint="80"/>
        <w:insideH w:val="single" w:sz="4" w:space="0" w:color="A6A6A6" w:themeColor="background1" w:themeShade="A6"/>
      </w:tblBorders>
    </w:tblPr>
    <w:tblStylePr w:type="firstRow">
      <w:rPr>
        <w:rFonts w:asciiTheme="majorHAnsi" w:hAnsiTheme="majorHAnsi"/>
        <w:b/>
        <w:i w:val="0"/>
        <w:color w:val="262626" w:themeColor="text1" w:themeTint="D9"/>
      </w:rPr>
      <w:tblPr/>
      <w:trPr>
        <w:tblHeader/>
      </w:trPr>
      <w:tcPr>
        <w:tcBorders>
          <w:top w:val="single" w:sz="4" w:space="0" w:color="7F7F7F" w:themeColor="text1" w:themeTint="80"/>
          <w:left w:val="nil"/>
          <w:bottom w:val="single" w:sz="4" w:space="0" w:color="7F7F7F" w:themeColor="text1" w:themeTint="80"/>
          <w:right w:val="nil"/>
          <w:insideH w:val="nil"/>
          <w:insideV w:val="nil"/>
          <w:tl2br w:val="nil"/>
          <w:tr2bl w:val="nil"/>
        </w:tcBorders>
      </w:tcPr>
    </w:tblStylePr>
  </w:style>
  <w:style w:type="character" w:customStyle="1" w:styleId="apple-converted-space">
    <w:name w:val="apple-converted-space"/>
    <w:basedOn w:val="DefaultParagraphFont"/>
    <w:rsid w:val="0061621F"/>
  </w:style>
  <w:style w:type="character" w:customStyle="1" w:styleId="UnresolvedMention2">
    <w:name w:val="Unresolved Mention2"/>
    <w:basedOn w:val="DefaultParagraphFont"/>
    <w:uiPriority w:val="99"/>
    <w:semiHidden/>
    <w:unhideWhenUsed/>
    <w:rsid w:val="007478B8"/>
    <w:rPr>
      <w:color w:val="605E5C"/>
      <w:shd w:val="clear" w:color="auto" w:fill="E1DFDD"/>
    </w:rPr>
  </w:style>
  <w:style w:type="paragraph" w:styleId="BalloonText">
    <w:name w:val="Balloon Text"/>
    <w:basedOn w:val="Normal"/>
    <w:link w:val="BalloonTextChar"/>
    <w:uiPriority w:val="99"/>
    <w:semiHidden/>
    <w:unhideWhenUsed/>
    <w:rsid w:val="00D475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753E"/>
    <w:rPr>
      <w:rFonts w:ascii="Segoe UI" w:hAnsi="Segoe UI" w:cs="Segoe UI"/>
      <w:sz w:val="18"/>
      <w:szCs w:val="18"/>
    </w:rPr>
  </w:style>
  <w:style w:type="paragraph" w:styleId="Header">
    <w:name w:val="header"/>
    <w:basedOn w:val="Normal"/>
    <w:link w:val="HeaderChar"/>
    <w:uiPriority w:val="99"/>
    <w:unhideWhenUsed/>
    <w:rsid w:val="00047E04"/>
    <w:pPr>
      <w:tabs>
        <w:tab w:val="center" w:pos="4680"/>
        <w:tab w:val="right" w:pos="9360"/>
      </w:tabs>
    </w:pPr>
  </w:style>
  <w:style w:type="character" w:customStyle="1" w:styleId="HeaderChar">
    <w:name w:val="Header Char"/>
    <w:basedOn w:val="DefaultParagraphFont"/>
    <w:link w:val="Header"/>
    <w:uiPriority w:val="99"/>
    <w:rsid w:val="00047E04"/>
  </w:style>
  <w:style w:type="paragraph" w:styleId="Footer">
    <w:name w:val="footer"/>
    <w:basedOn w:val="Normal"/>
    <w:link w:val="FooterChar"/>
    <w:uiPriority w:val="99"/>
    <w:unhideWhenUsed/>
    <w:rsid w:val="00047E04"/>
    <w:pPr>
      <w:tabs>
        <w:tab w:val="center" w:pos="4680"/>
        <w:tab w:val="right" w:pos="9360"/>
      </w:tabs>
    </w:pPr>
  </w:style>
  <w:style w:type="character" w:customStyle="1" w:styleId="FooterChar">
    <w:name w:val="Footer Char"/>
    <w:basedOn w:val="DefaultParagraphFont"/>
    <w:link w:val="Footer"/>
    <w:uiPriority w:val="99"/>
    <w:rsid w:val="00047E04"/>
  </w:style>
  <w:style w:type="character" w:styleId="UnresolvedMention">
    <w:name w:val="Unresolved Mention"/>
    <w:basedOn w:val="DefaultParagraphFont"/>
    <w:uiPriority w:val="99"/>
    <w:semiHidden/>
    <w:unhideWhenUsed/>
    <w:rsid w:val="002313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862987">
      <w:bodyDiv w:val="1"/>
      <w:marLeft w:val="0"/>
      <w:marRight w:val="0"/>
      <w:marTop w:val="0"/>
      <w:marBottom w:val="0"/>
      <w:divBdr>
        <w:top w:val="none" w:sz="0" w:space="0" w:color="auto"/>
        <w:left w:val="none" w:sz="0" w:space="0" w:color="auto"/>
        <w:bottom w:val="none" w:sz="0" w:space="0" w:color="auto"/>
        <w:right w:val="none" w:sz="0" w:space="0" w:color="auto"/>
      </w:divBdr>
    </w:div>
    <w:div w:id="1371998816">
      <w:bodyDiv w:val="1"/>
      <w:marLeft w:val="0"/>
      <w:marRight w:val="0"/>
      <w:marTop w:val="0"/>
      <w:marBottom w:val="0"/>
      <w:divBdr>
        <w:top w:val="none" w:sz="0" w:space="0" w:color="auto"/>
        <w:left w:val="none" w:sz="0" w:space="0" w:color="auto"/>
        <w:bottom w:val="none" w:sz="0" w:space="0" w:color="auto"/>
        <w:right w:val="none" w:sz="0" w:space="0" w:color="auto"/>
      </w:divBdr>
    </w:div>
    <w:div w:id="153835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reinmgr@stfx.ca" TargetMode="External"/><Relationship Id="rId18" Type="http://schemas.openxmlformats.org/officeDocument/2006/relationships/hyperlink" Target="https://www.stfx.ca/applications-admissions/registrars-office/academic-integrity" TargetMode="External"/><Relationship Id="rId26" Type="http://schemas.openxmlformats.org/officeDocument/2006/relationships/hyperlink" Target="https://www.stfx.ca/student-life-support/student-services/student-career-centre" TargetMode="External"/><Relationship Id="rId39" Type="http://schemas.openxmlformats.org/officeDocument/2006/relationships/fontTable" Target="fontTable.xml"/><Relationship Id="rId21" Type="http://schemas.openxmlformats.org/officeDocument/2006/relationships/hyperlink" Target="https://www.stfx.ca/student-life-support/student-services" TargetMode="External"/><Relationship Id="rId34" Type="http://schemas.openxmlformats.org/officeDocument/2006/relationships/hyperlink" Target="https://can01.safelinks.protection.outlook.com/?url=https%3A%2F%2Fwww.stfx.ca%2Fstudent-services%2Fsupport-services%2Fhealth-counselling%2Fflourish-health-wellness&amp;data=05%7C02%7Cdbennett%40stfx.ca%7C886e69eced644d29241e08def3ad63ff%7C8c46abc7960b412489501628b2b192f9%7C0%7C0%7C639216123209174521%7CUnknown%7CTWFpbGZsb3d8eyJFbXB0eU1hcGkiOnRydWUsIlYiOiIwLjAuMDAwMCIsIlAiOiJXaW4zMiIsIkFOIjoiTWFpbCIsIldUIjoyfQ%3D%3D%7C0%7C%7C%7C&amp;sdata=cyXI1RHHJW9Od3ccj9Lp5diKoW38m99ov%2FaPxXRDJ5k%3D&amp;reserved=0"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stfx.ca/student-services/academic-services/academic-success-centre/academic-integrity/faculty-syllabus" TargetMode="External"/><Relationship Id="rId20" Type="http://schemas.openxmlformats.org/officeDocument/2006/relationships/hyperlink" Target="https://www.stfx.ca/student-services/academic-services/academic-success-centre/academic-integrity/faculty-syllabus" TargetMode="External"/><Relationship Id="rId29" Type="http://schemas.openxmlformats.org/officeDocument/2006/relationships/hyperlink" Target="https://www.stfx.ca/student-services/recreation-active-living"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an01.safelinks.protection.outlook.com/?url=https%3A%2F%2Fstfx.teamdynamix.com%2FTDClient%2F1764%2FPortal%2FRequests%2FService%2F39840%2FChange-of-Name&amp;data=05%7C02%7Cdbennett%40stfx.ca%7Ceabc143d2577458facfa08def2ff6105%7C8c46abc7960b412489501628b2b192f9%7C0%7C0%7C639215375814855127%7CUnknown%7CTWFpbGZsb3d8eyJFbXB0eU1hcGkiOnRydWUsIlYiOiIwLjAuMDAwMCIsIlAiOiJXaW4zMiIsIkFOIjoiTWFpbCIsIldUIjoyfQ%3D%3D%7C0%7C%7C%7C&amp;sdata=ygart2H5t52eCnA6RmSS1XF5upIc5y7os4mOHZv1V4E%3D&amp;reserved=0" TargetMode="External"/><Relationship Id="rId24" Type="http://schemas.openxmlformats.org/officeDocument/2006/relationships/hyperlink" Target="https://www.stfx.ca/student-services/academic-services/academic-advising" TargetMode="External"/><Relationship Id="rId32" Type="http://schemas.openxmlformats.org/officeDocument/2006/relationships/hyperlink" Target="https://www.stfx.ca/art-gallery" TargetMode="External"/><Relationship Id="rId37" Type="http://schemas.openxmlformats.org/officeDocument/2006/relationships/hyperlink" Target="https://can01.safelinks.protection.outlook.com/?url=https%3A%2F%2Fwww.stfx.ca%2Fstudent-services%2Fsupport-services%2Fvisible-at-x&amp;data=05%7C02%7Cdbennett%40stfx.ca%7C790b2713bffd4de1b09f08deed8f19bc%7C8c46abc7960b412489501628b2b192f9%7C0%7C0%7C639209396051202538%7CUnknown%7CTWFpbGZsb3d8eyJFbXB0eU1hcGkiOnRydWUsIlYiOiIwLjAuMDAwMCIsIlAiOiJXaW4zMiIsIkFOIjoiTWFpbCIsIldUIjoyfQ%3D%3D%7C0%7C%7C%7C&amp;sdata=9dsLgdSJfgXHdrZwqXn%2By0IJBr7q47l736h739HwZKo%3D&amp;reserved=0" TargetMode="External"/><Relationship Id="rId40"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hyperlink" Target="mailto:cal@stfx.ca" TargetMode="External"/><Relationship Id="rId23" Type="http://schemas.openxmlformats.org/officeDocument/2006/relationships/hyperlink" Target="https://www.stfx.ca/student-life-support/health-counselling-centre" TargetMode="External"/><Relationship Id="rId28" Type="http://schemas.openxmlformats.org/officeDocument/2006/relationships/hyperlink" Target="https://www.stfx.ca/applications-admissions/financial-support/financial-aid-office" TargetMode="External"/><Relationship Id="rId36" Type="http://schemas.openxmlformats.org/officeDocument/2006/relationships/hyperlink" Target="mailto:hblackbu@stfx.ca" TargetMode="External"/><Relationship Id="rId10" Type="http://schemas.openxmlformats.org/officeDocument/2006/relationships/hyperlink" Target="https://stfx.libguides.com/copyright" TargetMode="External"/><Relationship Id="rId19" Type="http://schemas.openxmlformats.org/officeDocument/2006/relationships/hyperlink" Target="https://pressbooks.bccampus.ca/encourageacademicintegrity/" TargetMode="External"/><Relationship Id="rId31" Type="http://schemas.openxmlformats.org/officeDocument/2006/relationships/hyperlink" Target="https://www.stfx.ca/programs-courses/programs/music"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an01.safelinks.protection.outlook.com/?url=https%3A%2F%2Fwww.stfx.ca%2Fstudent-services%2Facademic-services%2Faccessible-learning&amp;data=05%7C02%7Cdbennett%40stfx.ca%7Cc42f247d08cc4ced2c3808deed6f1033%7C8c46abc7960b412489501628b2b192f9%7C0%7C0%7C639209258443565416%7CUnknown%7CTWFpbGZsb3d8eyJFbXB0eU1hcGkiOnRydWUsIlYiOiIwLjAuMDAwMCIsIlAiOiJXaW4zMiIsIkFOIjoiTWFpbCIsIldUIjoyfQ%3D%3D%7C0%7C%7C%7C&amp;sdata=jNkMQmB6ecVO0JN4Utcb2%2BHIo9iGmDXGz%2BgIFRrlMG4%3D&amp;reserved=0" TargetMode="External"/><Relationship Id="rId22" Type="http://schemas.openxmlformats.org/officeDocument/2006/relationships/hyperlink" Target="https://www.stfx.ca/applications-admissions/registrars-office" TargetMode="External"/><Relationship Id="rId27" Type="http://schemas.openxmlformats.org/officeDocument/2006/relationships/hyperlink" Target="https://www.stfx.ca/student-life-support/internationalization" TargetMode="External"/><Relationship Id="rId30" Type="http://schemas.openxmlformats.org/officeDocument/2006/relationships/hyperlink" Target="https://www.stfx.ca/student-services/recreation-active-living" TargetMode="External"/><Relationship Id="rId35" Type="http://schemas.openxmlformats.org/officeDocument/2006/relationships/hyperlink" Target="https://can01.safelinks.protection.outlook.com/?url=https%3A%2F%2Fwww.stfx.ca%2Fstudent-services%2Fsupport-services%2Fhealth-counselling&amp;data=05%7C02%7Cdbennett%40stfx.ca%7C886e69eced644d29241e08def3ad63ff%7C8c46abc7960b412489501628b2b192f9%7C0%7C0%7C639216123209211510%7CUnknown%7CTWFpbGZsb3d8eyJFbXB0eU1hcGkiOnRydWUsIlYiOiIwLjAuMDAwMCIsIlAiOiJXaW4zMiIsIkFOIjoiTWFpbCIsIldUIjoyfQ%3D%3D%7C0%7C%7C%7C&amp;sdata=lzHP7KCu%2ByYE5ta6IPdyLYHZCOR3CXjd%2FHeQvwnUpuQ%3D&amp;reserved=0"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mailto:registrar@stfx.ca" TargetMode="External"/><Relationship Id="rId17" Type="http://schemas.openxmlformats.org/officeDocument/2006/relationships/hyperlink" Target="https://www.stfx.ca/applications-admissions/registrars-office/academic-calendar" TargetMode="External"/><Relationship Id="rId25" Type="http://schemas.openxmlformats.org/officeDocument/2006/relationships/hyperlink" Target="https://www.stfx.ca/student-life-support/student-services/academic-success-centre" TargetMode="External"/><Relationship Id="rId33" Type="http://schemas.openxmlformats.org/officeDocument/2006/relationships/hyperlink" Target="https://www.stfx.ca/about/theater-antigonish" TargetMode="External"/><Relationship Id="rId38"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0C1DBB2CC64F488D0C1F1889EB68CC"/>
        <w:category>
          <w:name w:val="General"/>
          <w:gallery w:val="placeholder"/>
        </w:category>
        <w:types>
          <w:type w:val="bbPlcHdr"/>
        </w:types>
        <w:behaviors>
          <w:behavior w:val="content"/>
        </w:behaviors>
        <w:guid w:val="{A58E966F-51D7-1840-B1ED-F22982FD37EC}"/>
      </w:docPartPr>
      <w:docPartBody>
        <w:p w:rsidR="0097053D" w:rsidRDefault="001876F9" w:rsidP="001876F9">
          <w:pPr>
            <w:pStyle w:val="5F0C1DBB2CC64F488D0C1F1889EB68CC"/>
          </w:pPr>
          <w:r>
            <w:t>Week 1</w:t>
          </w:r>
        </w:p>
      </w:docPartBody>
    </w:docPart>
    <w:docPart>
      <w:docPartPr>
        <w:name w:val="9FE2BD36AE792A42A3EB02A7851C9D83"/>
        <w:category>
          <w:name w:val="General"/>
          <w:gallery w:val="placeholder"/>
        </w:category>
        <w:types>
          <w:type w:val="bbPlcHdr"/>
        </w:types>
        <w:behaviors>
          <w:behavior w:val="content"/>
        </w:behaviors>
        <w:guid w:val="{22B786A4-38AB-8D49-9935-041D9F1BCE8E}"/>
      </w:docPartPr>
      <w:docPartBody>
        <w:p w:rsidR="0097053D" w:rsidRDefault="001876F9" w:rsidP="001876F9">
          <w:pPr>
            <w:pStyle w:val="9FE2BD36AE792A42A3EB02A7851C9D83"/>
          </w:pPr>
          <w:r>
            <w:t>Week 2</w:t>
          </w:r>
        </w:p>
      </w:docPartBody>
    </w:docPart>
    <w:docPart>
      <w:docPartPr>
        <w:name w:val="BB00EB0578FC8046A6BD5DB7A5F06898"/>
        <w:category>
          <w:name w:val="General"/>
          <w:gallery w:val="placeholder"/>
        </w:category>
        <w:types>
          <w:type w:val="bbPlcHdr"/>
        </w:types>
        <w:behaviors>
          <w:behavior w:val="content"/>
        </w:behaviors>
        <w:guid w:val="{D42DAB9D-47EA-DB47-B06A-C0FFCE8595DA}"/>
      </w:docPartPr>
      <w:docPartBody>
        <w:p w:rsidR="0097053D" w:rsidRDefault="001876F9" w:rsidP="001876F9">
          <w:pPr>
            <w:pStyle w:val="BB00EB0578FC8046A6BD5DB7A5F06898"/>
          </w:pPr>
          <w:r>
            <w:t>Week 3</w:t>
          </w:r>
        </w:p>
      </w:docPartBody>
    </w:docPart>
    <w:docPart>
      <w:docPartPr>
        <w:name w:val="EF0685C3176B05488AC0B5A2E02F5B9C"/>
        <w:category>
          <w:name w:val="General"/>
          <w:gallery w:val="placeholder"/>
        </w:category>
        <w:types>
          <w:type w:val="bbPlcHdr"/>
        </w:types>
        <w:behaviors>
          <w:behavior w:val="content"/>
        </w:behaviors>
        <w:guid w:val="{0EA5C1C6-3E41-4E43-AE9F-F929F9BC47C5}"/>
      </w:docPartPr>
      <w:docPartBody>
        <w:p w:rsidR="0097053D" w:rsidRDefault="001876F9" w:rsidP="001876F9">
          <w:pPr>
            <w:pStyle w:val="EF0685C3176B05488AC0B5A2E02F5B9C"/>
          </w:pPr>
          <w:r>
            <w:t>Week 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6F9"/>
    <w:rsid w:val="00135D2A"/>
    <w:rsid w:val="00164D2C"/>
    <w:rsid w:val="0016597A"/>
    <w:rsid w:val="001876F9"/>
    <w:rsid w:val="00190460"/>
    <w:rsid w:val="002045B1"/>
    <w:rsid w:val="0034408F"/>
    <w:rsid w:val="00376731"/>
    <w:rsid w:val="00441DC5"/>
    <w:rsid w:val="004C64EA"/>
    <w:rsid w:val="00591D0F"/>
    <w:rsid w:val="00622BBB"/>
    <w:rsid w:val="0064750B"/>
    <w:rsid w:val="00756C46"/>
    <w:rsid w:val="00797DE3"/>
    <w:rsid w:val="00894B8B"/>
    <w:rsid w:val="00913F62"/>
    <w:rsid w:val="0097053D"/>
    <w:rsid w:val="00AE5DD3"/>
    <w:rsid w:val="00B461A7"/>
    <w:rsid w:val="00B75CE4"/>
    <w:rsid w:val="00C01425"/>
    <w:rsid w:val="00C9553A"/>
    <w:rsid w:val="00D2416A"/>
    <w:rsid w:val="00D8584A"/>
    <w:rsid w:val="00DF3239"/>
    <w:rsid w:val="00FE007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11"/>
    <w:unhideWhenUsed/>
    <w:qFormat/>
    <w:rsid w:val="001876F9"/>
    <w:rPr>
      <w:i/>
      <w:iCs/>
    </w:rPr>
  </w:style>
  <w:style w:type="paragraph" w:customStyle="1" w:styleId="5F0C1DBB2CC64F488D0C1F1889EB68CC">
    <w:name w:val="5F0C1DBB2CC64F488D0C1F1889EB68CC"/>
    <w:rsid w:val="001876F9"/>
  </w:style>
  <w:style w:type="paragraph" w:customStyle="1" w:styleId="9FE2BD36AE792A42A3EB02A7851C9D83">
    <w:name w:val="9FE2BD36AE792A42A3EB02A7851C9D83"/>
    <w:rsid w:val="001876F9"/>
  </w:style>
  <w:style w:type="paragraph" w:customStyle="1" w:styleId="BB00EB0578FC8046A6BD5DB7A5F06898">
    <w:name w:val="BB00EB0578FC8046A6BD5DB7A5F06898"/>
    <w:rsid w:val="001876F9"/>
  </w:style>
  <w:style w:type="paragraph" w:customStyle="1" w:styleId="EF0685C3176B05488AC0B5A2E02F5B9C">
    <w:name w:val="EF0685C3176B05488AC0B5A2E02F5B9C"/>
    <w:rsid w:val="001876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ECFC42F6544649B7F007FAEBE6CE50" ma:contentTypeVersion="12" ma:contentTypeDescription="Create a new document." ma:contentTypeScope="" ma:versionID="5d32d219860780ded266072e3bd8d742">
  <xsd:schema xmlns:xsd="http://www.w3.org/2001/XMLSchema" xmlns:xs="http://www.w3.org/2001/XMLSchema" xmlns:p="http://schemas.microsoft.com/office/2006/metadata/properties" xmlns:ns2="8f3e5929-dabd-49cc-a751-a86be1454407" xmlns:ns3="8121fd81-e96e-49dd-82b7-a2cef0483f92" targetNamespace="http://schemas.microsoft.com/office/2006/metadata/properties" ma:root="true" ma:fieldsID="1fcd750ee868ca72209c529517d310de" ns2:_="" ns3:_="">
    <xsd:import namespace="8f3e5929-dabd-49cc-a751-a86be1454407"/>
    <xsd:import namespace="8121fd81-e96e-49dd-82b7-a2cef0483f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3e5929-dabd-49cc-a751-a86be14544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bab68d4-bfe0-44c9-affe-911472c9a97e"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21fd81-e96e-49dd-82b7-a2cef0483f9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0f843e-59b8-47ee-862d-2fe1017d7fb7}" ma:internalName="TaxCatchAll" ma:showField="CatchAllData" ma:web="8121fd81-e96e-49dd-82b7-a2cef0483f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121fd81-e96e-49dd-82b7-a2cef0483f92" xsi:nil="true"/>
    <lcf76f155ced4ddcb4097134ff3c332f xmlns="8f3e5929-dabd-49cc-a751-a86be145440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1C96BF-0C70-4529-833C-4EBBC897A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3e5929-dabd-49cc-a751-a86be1454407"/>
    <ds:schemaRef ds:uri="8121fd81-e96e-49dd-82b7-a2cef0483f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D3663D-7AD1-41AE-A0ED-554DEE3BE489}">
  <ds:schemaRefs>
    <ds:schemaRef ds:uri="http://schemas.microsoft.com/sharepoint/v3/contenttype/forms"/>
  </ds:schemaRefs>
</ds:datastoreItem>
</file>

<file path=customXml/itemProps3.xml><?xml version="1.0" encoding="utf-8"?>
<ds:datastoreItem xmlns:ds="http://schemas.openxmlformats.org/officeDocument/2006/customXml" ds:itemID="{22070A87-A8F2-4FB9-A8E3-97BF1EAB3E9C}">
  <ds:schemaRefs>
    <ds:schemaRef ds:uri="http://schemas.microsoft.com/office/2006/metadata/properties"/>
    <ds:schemaRef ds:uri="http://schemas.microsoft.com/office/infopath/2007/PartnerControls"/>
    <ds:schemaRef ds:uri="8121fd81-e96e-49dd-82b7-a2cef0483f92"/>
    <ds:schemaRef ds:uri="8f3e5929-dabd-49cc-a751-a86be1454407"/>
  </ds:schemaRefs>
</ds:datastoreItem>
</file>

<file path=docProps/app.xml><?xml version="1.0" encoding="utf-8"?>
<Properties xmlns="http://schemas.openxmlformats.org/officeDocument/2006/extended-properties" xmlns:vt="http://schemas.openxmlformats.org/officeDocument/2006/docPropsVTypes">
  <Template>Normal</Template>
  <TotalTime>628</TotalTime>
  <Pages>4</Pages>
  <Words>2337</Words>
  <Characters>13321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Belliveau</dc:creator>
  <cp:keywords/>
  <dc:description/>
  <cp:lastModifiedBy>Danielle Bennett</cp:lastModifiedBy>
  <cp:revision>61</cp:revision>
  <cp:lastPrinted>2023-08-17T17:04:00Z</cp:lastPrinted>
  <dcterms:created xsi:type="dcterms:W3CDTF">2026-07-29T16:20:00Z</dcterms:created>
  <dcterms:modified xsi:type="dcterms:W3CDTF">2026-08-06T17:31:00Z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0x0101003EECFC42F6544649B7F007FAEBE6CE50</vt:lpwstr>
  </property>
  <property fmtid="{D5CDD505-2E9C-101B-9397-08002B2CF9AE}" pid="3" name="MediaServiceImageTags">
    <vt:lpwstr/>
  </property>
</Properties>
</file>